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AAC.4.a — Standardised initial assessment</w:t>
      </w:r>
    </w:p>
    <w:p>
      <w:r>
        <w:rPr>
          <w:b/>
          <w:sz w:val="30"/>
        </w:rPr>
        <w:t>AAC.4 Record 2 — Emergency Vital Parameters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Sample of emergency records confirming vital parameters were recorded at initial assessment. Every time this happens for real, whoever is responsible adds one new row to the table below, filling in: Patient ID, Arrival Time, Vitals Recorded (Y/N), Recorded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sample of emergency records confirming vital parameters were recorded at initial assessment. The worked example below shows a real entry: on 09:14, patient id was “ER-2026-0601”, vitals recorded (y/n) was “Yes”, recorded by was “Nurse P. Thomas”.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guideline that's never checked against real practice is just a document — this record is what proves the rule is actually being followed on the ground, not just on paper.</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'ER-2026-0601' in this column, so you can see the level of detail expected — write your own real entry in that same style, not a copy of the example.</w:t>
      </w:r>
    </w:p>
    <w:p>
      <w:pPr>
        <w:pStyle w:val="ListParagraph"/>
      </w:pPr>
      <w:r>
        <w:rPr>
          <w:b/>
        </w:rPr>
        <w:t xml:space="preserve">Arrival Time: </w:t>
      </w:r>
      <w:r>
        <w:t>Enter the actual arrival time for this specific entry — real information from what actually happened, not a placeholder. The worked example row below shows '09:14' in this column, so you can see the level of detail expected — write your own real entry in that same style, not a copy of the example.</w:t>
      </w:r>
    </w:p>
    <w:p>
      <w:pPr>
        <w:pStyle w:val="ListParagraph"/>
      </w:pPr>
      <w:r>
        <w:rPr>
          <w:b/>
        </w:rPr>
        <w:t xml:space="preserve">Vitals Recorded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Recorded By: </w:t>
      </w:r>
      <w:r>
        <w:t>Who wrote this entry down. The worked example row below shows 'Nurse P. Thomas'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Arrival Time</w:t>
            </w:r>
          </w:p>
        </w:tc>
        <w:tc>
          <w:tcPr>
            <w:tcW w:type="dxa" w:w="2420"/>
            <w:shd w:val="clear" w:fill="D9E2F3"/>
          </w:tcPr>
          <w:p>
            <w:r/>
            <w:r>
              <w:rPr>
                <w:b/>
                <w:sz w:val="20"/>
              </w:rPr>
              <w:t>Vitals Recorded (Y/N)</w:t>
            </w:r>
          </w:p>
        </w:tc>
        <w:tc>
          <w:tcPr>
            <w:tcW w:type="dxa" w:w="2420"/>
            <w:shd w:val="clear" w:fill="D9E2F3"/>
          </w:tcPr>
          <w:p>
            <w:r/>
            <w:r>
              <w:rPr>
                <w:b/>
                <w:sz w:val="20"/>
              </w:rPr>
              <w:t>Recorded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ER-2026-0601</w:t>
            </w:r>
          </w:p>
        </w:tc>
        <w:tc>
          <w:tcPr>
            <w:tcW w:type="dxa" w:w="2420"/>
            <w:shd w:val="clear" w:fill="FFF2CC"/>
          </w:tcPr>
          <w:p>
            <w:r/>
            <w:r>
              <w:rPr>
                <w:b w:val="0"/>
                <w:sz w:val="20"/>
              </w:rPr>
              <w:t>09:14</w:t>
            </w:r>
          </w:p>
        </w:tc>
        <w:tc>
          <w:tcPr>
            <w:tcW w:type="dxa" w:w="2420"/>
            <w:shd w:val="clear" w:fill="FFF2CC"/>
          </w:tcPr>
          <w:p>
            <w:r/>
            <w:r>
              <w:rPr>
                <w:b w:val="0"/>
                <w:sz w:val="20"/>
              </w:rPr>
              <w:t>Yes</w:t>
            </w:r>
          </w:p>
        </w:tc>
        <w:tc>
          <w:tcPr>
            <w:tcW w:type="dxa" w:w="2420"/>
            <w:shd w:val="clear" w:fill="FFF2CC"/>
          </w:tcPr>
          <w:p>
            <w:r/>
            <w:r>
              <w:rPr>
                <w:b w:val="0"/>
                <w:sz w:val="20"/>
              </w:rPr>
              <w:t>Nurse P. Thomas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