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AAC.4.c — Within a time frame based on patient needs</w:t>
      </w:r>
    </w:p>
    <w:p>
      <w:r>
        <w:rPr>
          <w:b/>
          <w:sz w:val="30"/>
        </w:rPr>
        <w:t>AAC.4 Record 8 — Time-Frame Definition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Written time-frame document for day-care, IP, and emergency initial assessment. Every time this happens for real, whoever is responsible adds one new row to the table below, filling in: Area, Maximum Time Frame, Clock Starts At.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written time-frame document for day-care, IP, and emergency initial assessment. The worked example below shows a real entry: on 24 hours, area was “In-Patient”, clock starts at was “Ward arrival”.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timeframe or definition that's only understood informally means different staff apply it differently — this record is the controlled, written version everyone is actually trained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Area: </w:t>
      </w:r>
      <w:r>
        <w:t>Enter the actual area for this specific entry — real information from what actually happened, not a placeholder. The worked example row below shows 'In-Patient'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Maximum Time Frame: </w:t>
      </w:r>
      <w:r>
        <w:t>Enter the actual maximum time frame for this specific entry — real information from what actually happened, not a placeholder. The worked example row below shows '24 hours'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Clock Starts At: </w:t>
      </w:r>
      <w:r>
        <w:t>Enter the actual clock starts at for this specific entry — real information from what actually happened, not a placeholder. The worked example row below shows 'Ward arrival'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Maximum Time Frame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Clock Starts At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In-Patient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24 hours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Ward arrival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