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AAC.4.c — Within a time frame based on patient needs</w:t>
      </w:r>
    </w:p>
    <w:p>
      <w:r>
        <w:rPr>
          <w:b/>
          <w:sz w:val="30"/>
        </w:rPr>
        <w:t>AAC.4 Record 9 — IP Assessment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IP sample with ward-arrival time and assessment-completion time, confirming within 24 hours. Every time this happens for real, whoever is responsible adds one new row to the table below, filling in: Patient ID, Ward Arrival, Assessment Completed, Within 24 Hrs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IP sample with ward-arrival time and assessment-completion time, confirming within 24 hours. The worked example below shows a real entry: patient id was “IP-2026-0142”, ward arrival was “08:00, 10-Jan”, assessment completed was “14:30, 10-Jan”.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Ward Arrival: </w:t>
      </w:r>
      <w:r>
        <w:t>Enter the actual ward arrival for this specific entry — real information from what actually happened, not a placeholder. The worked example row below shows '08:00, 10-Jan'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Assessment Completed: </w:t>
      </w:r>
      <w:r>
        <w:t>Enter the actual assessment completed for this specific entry — real information from what actually happened, not a placeholder. The worked example row below shows '14:30, 10-Jan'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Within 24 Hrs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Ward Arrival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Assessment Completed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Within 24 Hrs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08:00, 10-Jan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14:30, 10-Jan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