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AAC.4.d — Nursing assessment at admission</w:t>
      </w:r>
    </w:p>
    <w:p>
      <w:r>
        <w:rPr>
          <w:b/>
          <w:sz w:val="30"/>
        </w:rPr>
        <w:t>AAC.4 Record 12 — Nursing Assessment Template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nursing-assessment templates/checklists exist for IP and day-care. Every time this happens for real, whoever is responsible adds one new row to the table below, filling in: Area, Template Name/Version,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nursing-assessment templates/checklists exist for IP and day-care. The worked example below shows a real entry: area was “In-Patient”, template name/version was “Nursing Admission Assessment v1.3”,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Area: </w:t>
      </w:r>
      <w:r>
        <w:t>Enter the actual area for this specific entry — real information from what actually happened, not a placeholder. The worked example row below shows 'In-Patient'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Template Name/Version: </w:t>
      </w:r>
      <w:r>
        <w:t>Enter the actual template name/version for this specific entry — real information from what actually happened, not a placeholder. The worked example row below shows 'Nursing Admission Assessment v1.3'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Template Name/Version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In-Patient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Nursing Admission Assessment v1.3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