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AAC.4.e — Documented care plan from in-patient initial assessment</w:t>
      </w:r>
    </w:p>
    <w:p>
      <w:r>
        <w:rPr>
          <w:b/>
          <w:sz w:val="30"/>
        </w:rPr>
        <w:t>AAC.4 Record 15 — Care Plan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IP records showing a documented care plan including provisional or differential diagnosis. Every time this happens for real, whoever is responsible adds one new row to the table below, filling in: Patient ID, Provisional/Differential Dx, Care Plan Present (Y/N), Written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IP records showing a documented care plan including provisional or differential diagnosis. The worked example below shows a real entry: patient id was “IP-2026-0142”, provisional/differential dx was “Acute MI vs. unstable angina”, care plan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Provisional/Differential Dx: </w:t>
      </w:r>
      <w:r>
        <w:t>Enter the actual provisional/differential dx for this specific entry — real information from what actually happened, not a placeholder. The worked example row below shows 'Acute MI vs. unstable angina'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Care Plan 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Written By: </w:t>
      </w:r>
      <w:r>
        <w:t>Enter the actual written by for this specific entry — real information from what actually happened, not a placeholder. The worked example row below shows 'Dr. A. Rao'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Provisional/Differential Dx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Care Plan Present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Written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Acute MI vs. unstable angina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