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AAC.5.a — Re-assessment at appropriate intervals</w:t>
      </w:r>
    </w:p>
    <w:p>
      <w:r>
        <w:rPr>
          <w:b/>
          <w:sz w:val="30"/>
        </w:rPr>
        <w:t>AAC.5 Record 1 — In-Patient Daily Re-assessment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IP case sheets showing at least daily re-assessment by the treating doctor or a doctor from the treating team. Every time this happens for real, whoever is responsible adds one new row to the table below, filling in: Patient ID, Date, Re-assessed By, Findings Documented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IP case sheets showing at least daily re-assessment by the treating doctor or a doctor from the treating team. The worked example below shows a real entry: on 11-Jan-2026, patient id was “IP-2026-0142”, re-assessed by was “Dr. A. Rao”, findings documented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Re-assessed By: </w:t>
      </w:r>
      <w:r>
        <w:t>Enter the actual re-assessed by for this specific entry — real information from what actually happened, not a placeholder.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Findings Documented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Re-assessed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Findings Documented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