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AAC.5.e — Early warning signs — guidelines and prompt intervention</w:t>
      </w:r>
    </w:p>
    <w:p>
      <w:r>
        <w:rPr>
          <w:b/>
          <w:sz w:val="30"/>
        </w:rPr>
        <w:t>AAC.5 Record 13 — Early-Warning Effectiveness Review Notes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Review notes on early-warning system effectiveness, at the interval defined by the Quality Coordinator. Every time this happens for real, whoever is responsible adds one new row to the table below, filling in: Review Date, Reviewed By, Findings, Action Taken.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review notes on early-warning system effectiveness, at the interval defined by the Quality Coordinator. The worked example below shows a real entry: on 31-Jan-2026, reviewed by was “Quality Coordinator”, findings was “Escalation response time averaged 6 min” — so action taken was “No change needed”.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specific evidence an assessor checks against this requirement — without it, there's no way to show the practice described in the policy is actually happening for real patients.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Enter the actual review date for this specific entry — real information from what actually happened, not a placeholder. The worked example row below shows '31-Jan-2026'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Reviewed By: </w:t>
      </w:r>
      <w:r>
        <w:t>Enter the actual reviewed by for this specific entry — real information from what actually happened, not a placeholder. The worked example row below shows 'Quality Coordinator'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Findings: </w:t>
      </w:r>
      <w:r>
        <w:t>What was actually found or what happened as a result — write the real outcome, not just 'done' or 'ok' without detail. The worked example row below shows 'Escalation response time averaged 6 min'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fix this, in concrete terms — not a vague intention. The worked example row below shows 'No change needed'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31-Jan-2026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Escalation response time averaged 6 min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No change needed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