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AAC.6.e — Written guidance for requisition through disposal</w:t>
      </w:r>
    </w:p>
    <w:p>
      <w:r>
        <w:rPr>
          <w:b/>
          <w:sz w:val="30"/>
        </w:rPr>
        <w:t>AAC.6 Record 14 — Two-Identifier Check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two-patient identifiers were checked at collection and receipt. Every time this happens for real, whoever is responsible adds one new row to the table below, filling in: Specimen ID, Identifiers Checked at Collection (Y/N), Identifiers Checked at Receipt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two-patient identifiers were checked at collection and receipt. The worked example below shows a real entry: specimen id was “SP-2026-4022”, identifiers checked at collection (y/n) was “Yes”, identifiers checked at receipt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Specimen ID: </w:t>
      </w:r>
      <w:r>
        <w:t>Enter the actual specimen id for this specific entry — real information from what actually happened, not a placeholder. The worked example row below shows 'SP-2026-4022'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Identifiers Checked at Collection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Identifiers Checked at Receipt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Specimen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Identifiers Checked at Collection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Identifiers Checked at Receipt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SP-2026-4022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