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AAC.6.g — Critical results intimated immediately</w:t>
      </w:r>
    </w:p>
    <w:p>
      <w:r>
        <w:rPr>
          <w:b/>
          <w:sz w:val="30"/>
        </w:rPr>
        <w:t>AAC.6 Record 19 — Critical Limits Reference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Documented critical limits and biological reference intervals per test. Every time this happens for real, whoever is responsible adds one new row to the table below, filling in: Test, Critical Limit (Low), Critical Limit (High).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documented critical limits and biological reference intervals per test. The worked example below shows a real entry: test was “Potassium”, critical limit (low) was “&lt;2.5 mmol/L”, critical limit (high) was “&gt;6.5 mmol/L”.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Test: </w:t>
      </w:r>
      <w:r>
        <w:t>Enter the actual test for this specific entry — real information from what actually happened, not a placeholder. The worked example row below shows 'Potassium'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Critical Limit (Low): </w:t>
      </w:r>
      <w:r>
        <w:t>Enter the actual critical limit (low) for this specific entry — real information from what actually happened, not a placeholder. The worked example row below shows '&lt;2.5 mmol/L'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Critical Limit (High): </w:t>
      </w:r>
      <w:r>
        <w:t>Enter the actual critical limit (high) for this specific entry — real information from what actually happened, not a placeholder. The worked example row below shows '&gt;6.5 mmol/L'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Test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Critical Limit (Low)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Critical Limit (High)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Potassium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&lt;2.5 mmol/L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&gt;6.5 mmol/L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