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AAC.6.j — Outsourced laboratory tests</w:t>
      </w:r>
    </w:p>
    <w:p>
      <w:r>
        <w:rPr>
          <w:b/>
          <w:sz w:val="30"/>
        </w:rPr>
        <w:t>AAC.6 Record 28 — Outsourcing Guidance Document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written outsourcing guidance exists (test list, transport, packaging, performance checks). Every time this happens for real, whoever is responsible adds one new row to the table below, filling in: Guidance Element, Document Reference, Last Reviewed.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written outsourcing guidance exists (test list, transport, packaging, performance checks). The worked example below shows a real entry: guidance element was “Packaging &amp; labelling for outsourced specimens”, document reference was “OUT-SOP-01, v1.1”, last reviewed was “05-Jan-2026”.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Guidance Element: </w:t>
      </w:r>
      <w:r>
        <w:t>Enter the actual guidance element for this specific entry — real information from what actually happened, not a placeholder. The worked example row below shows 'Packaging &amp; labelling for outsourced specimens'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Document Reference: </w:t>
      </w:r>
      <w:r>
        <w:t>Enter the actual document reference for this specific entry — real information from what actually happened, not a placeholder. The worked example row below shows 'OUT-SOP-01, v1.1'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Last Reviewed: </w:t>
      </w:r>
      <w:r>
        <w:t>Enter the actual last reviewed for this specific entry — real information from what actually happened, not a placeholder. The worked example row below shows '05-Jan-2026'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Guidance Element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Document Reference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Last Reviewed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Packaging &amp; labelling for outsourced specimens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OUT-SOP-01, v1.1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