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AAC.6.j — Outsourced laboratory tests</w:t>
      </w:r>
    </w:p>
    <w:p>
      <w:r>
        <w:rPr>
          <w:b/>
          <w:sz w:val="30"/>
        </w:rPr>
        <w:t>AAC.6 Record 29 — Outsourced Laboratory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Current MoU/agreement incorporating quality assurance, per outsourced laboratory. Every time this happens for real, whoever is responsible adds one new row to the table below, filling in: Outsourced Lab, MoU Reference, Valid Until, QA Clause Included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current MoU/agreement incorporating quality assurance, per outsourced laboratory. The worked example below shows a real entry: outsourced lab was “ABC Reference Lab”, mou reference was “MoU-2025-018”, valid until was “31-Dec-2026”.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Outsourced Lab: </w:t>
      </w:r>
      <w:r>
        <w:t>Enter the actual outsourced lab for this specific entry — real information from what actually happened, not a placeholder. The worked example row below shows 'ABC Reference Lab'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MoU Reference: </w:t>
      </w:r>
      <w:r>
        <w:t>Enter the actual mou reference for this specific entry — real information from what actually happened, not a placeholder. The worked example row below shows 'MoU-2025-018'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QA Clause Included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Outsourced Lab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MoU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QA Clause Included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ABC Reference Lab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MoU-2025-018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