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AAC.7.c — Proficiency testing and EQA</w:t>
      </w:r>
    </w:p>
    <w:p>
      <w:r>
        <w:rPr>
          <w:b/>
          <w:sz w:val="30"/>
        </w:rPr>
        <w:t>AAC.7 Record 7 — PT/EQA Enrolment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Enrolment status by analyte in proficiency testing / external quality assurance schemes. Every time this happens for real, whoever is responsible adds one new row to the table below, filling in: Analyte, PT/EQA Programme, Enrolled (Y/N), Frequency.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enrolment status by analyte in proficiency testing / external quality assurance schemes. The worked example below shows a real entry: analyte was “HbA1c”, pt/eqa programme was “CMC Vellore EQAS”, enrolled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results deadline that exists only as a general expectation, never checked against real cases, isn't actually managed — this record is what proves how long results are genuinely taking, and what happened when they didn't.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Analyte: </w:t>
      </w:r>
      <w:r>
        <w:t>Enter the actual analyte for this specific entry — real information from what actually happened, not a placeholder. The worked example row below shows 'HbA1c'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PT/EQA Programme: </w:t>
      </w:r>
      <w:r>
        <w:t>Enter the actual pt/eqa programme for this specific entry — real information from what actually happened, not a placeholder. The worked example row below shows 'CMC Vellore EQAS'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Enrolled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Frequency: </w:t>
      </w:r>
      <w:r>
        <w:t>Enter the actual frequency for this specific entry — real information from what actually happened, not a placeholder. The worked example row below shows 'Quarterly'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Analyte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PT/EQA Programme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Enrolled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HbA1c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CMC Vellore EQAS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Quarterly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