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AAC.7.g — Appropriate safety measures provided</w:t>
      </w:r>
    </w:p>
    <w:p>
      <w:r>
        <w:rPr>
          <w:b/>
          <w:sz w:val="30"/>
        </w:rPr>
        <w:t>AAC.7 Record 20 — Staff Immunisation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Immunisation records for laboratory staff, Hepatitis B at minimum. Every time this happens for real, whoever is responsible adds one new row to the table below, filling in: Staff Name, Hepatitis B (Y/N), Other Immunisations,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screening, advice or education adds a new row every time it's actually done for a real patient — in this case, that means immunisation records for laboratory staff, Hepatitis B at minimum. The worked example below shows a real entry: on 15-May-2024, staff name was “S. Krishnan”, hepatitis b (y/n) was “Yes”, other immunisations was “Tetanus”.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Preventive care that's offered informally, with no record, can't be shown to have reached the patient it was meant for — this record is the proof the screening, immunisation advice or education actually happened, for a real person, not just that the programme exists.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name of the staff member involved. The worked example row below shows 'S. Krishnan'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Hepatitis B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Other Immunisations: </w:t>
      </w:r>
      <w:r>
        <w:t>Enter the actual other immunisations for this specific entry — real information from what actually happened, not a placeholder. The worked example row below shows 'Tetanus'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'15-May-2024'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Hepatitis B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Other Immunisations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S. Krishnan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Tetanus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15-May-2024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