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AAC.8.h — Recall / amendment mechanism</w:t>
      </w:r>
    </w:p>
    <w:p>
      <w:r>
        <w:rPr>
          <w:b/>
          <w:sz w:val="30"/>
        </w:rPr>
        <w:t>AAC.8 Record 23 — Withdrawal Evidence Record (RIS/HIS)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Evidence of withdrawal from clinical areas, medical records, RIS, and HIS. Every time this happens for real, whoever is responsible adds one new row to the table below, filling in: Report ID, Withdrawn from Clinical Area (Y/N), Withdrawn from RIS/HIS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evidence of withdrawal from clinical areas, medical records, RIS, and HIS. The worked example below shows a real entry: report id was “IMG-2026-3310”, withdrawn from clinical area (y/n) was “Yes”, withdrawn from ris/his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test or service sent outside the hospital is still the hospital's responsibility for getting it right — this record is the proof the outsourced partner's quality, or the decision to stop using them, was actually checked.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 ID: </w:t>
      </w:r>
      <w:r>
        <w:t>Enter the actual report id for this specific entry — real information from what actually happened, not a placeholder. The worked example row below shows 'IMG-2026-3310'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Withdrawn from Clinical Area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Withdrawn from RIS/HIS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Withdrawn from Clinical Area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Withdrawn from RIS/HIS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IMG-2026-3310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