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AAC.8.i — Outsourced imaging tests</w:t>
      </w:r>
    </w:p>
    <w:p>
      <w:r>
        <w:rPr>
          <w:b/>
          <w:sz w:val="30"/>
        </w:rPr>
        <w:t>AAC.8 Record 25 — Outsourcing Guidance Document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Written outsourcing guidance including critical-result and TAT/prioritisation rules. Every time this happens for real, whoever is responsible adds one new row to the table below, filling in: Guidance Element, Document Reference,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written outsourcing guidance including critical-result and TAT/prioritisation rules. The worked example below shows a real entry: guidance element was “Critical-result escalation for outsourced MRI”, document reference was “OUT-IMG-SOP-01, v1.0”,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Guidance Element: </w:t>
      </w:r>
      <w:r>
        <w:t>Enter the actual guidance element for this specific entry — real information from what actually happened, not a placeholder. The worked example row below shows 'Critical-result escalation for outsourced MRI'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'OUT-IMG-SOP-01, v1.0'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Guidance 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Critical-result escalation for outsourced MRI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OUT-IMG-SOP-01, v1.0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