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COP.1.a — Uniform care irrespective of setting/payment</w:t>
      </w:r>
    </w:p>
    <w:p>
      <w:r>
        <w:rPr>
          <w:b/>
          <w:sz w:val="30"/>
        </w:rPr>
        <w:t>COP.1 Record 2 — Multiple-OPD Care-Methodology Consistency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Where separate OPDs exist for different patient categories, confirms the same care-delivery methodology is used in each. Every time this happens for real, whoever is responsible adds one new row to the table below, filling in: OPD/Department, Patient Category Served, Methodology Matches Standard OPD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where separate OPDs exist for different patient categories, confirms the same care-delivery methodology is used in each. The worked example below shows a real entry: opd/department was “Insurance-Patient OPD”, patient category served was “TPA/insurance patients”, methodology matches standard opd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that's uniform in policy but different in practice from one OPD or ward to the next means a patient's outcome depends on which door they walked through — this record proves it's actually the same everywhere.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OPD/Department: </w:t>
      </w:r>
      <w:r>
        <w:t>Which department, ward or area this relates to. The worked example row below shows 'Insurance-Patient OPD'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Category Served: </w:t>
      </w:r>
      <w:r>
        <w:t>The actual patient type or category for this entry, as it actually applies. The worked example row below shows 'TPA/insurance patients'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Methodology Matches Standard OPD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OPD/Department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Category Served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Methodology Matches Standard OPD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Insurance-Patient OPD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TPA/insurance patients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