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COP.1.c — Evidence-based clinical practice guidance</w:t>
      </w:r>
    </w:p>
    <w:p>
      <w:r>
        <w:rPr>
          <w:b/>
          <w:sz w:val="30"/>
        </w:rPr>
        <w:t>COP.1 Record 5 — Clinical Practice Guideline Adoption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Lists which evidence-based guidelines or protocols the hospital has adopted, and their source. Every time this happens for real, whoever is responsible adds one new row to the table below, filling in: Clinical Condition, Guideline/Protocol Used, Source (National/International Body), Adopted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which evidence-based guidelines or protocols the hospital has adopted, and their source. The worked example below shows a real entry: on 05-Jan-2026, clinical condition was “Community-Acquired Pneumonia”, guideline/protocol used was “STG for CAP”, source (national/international body) was “Government of India Standard Treatment Guidelines”.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Clinical Condition: </w:t>
      </w:r>
      <w:r>
        <w:t>A short, factual account of what actually happened or was found — enough detail that someone reading this later understands the situation without having to ask around. The worked example row below shows 'Community-Acquired Pneumonia'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Guideline/Protocol Used: </w:t>
      </w:r>
      <w:r>
        <w:t>Enter the actual guideline/protocol used for this specific entry — real information from what actually happened, not a placeholder. The worked example row below shows 'STG for CAP'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Source (National/International Body): </w:t>
      </w:r>
      <w:r>
        <w:t>Enter the actual source (national/international body) for this specific entry — real information from what actually happened, not a placeholder. The worked example row below shows 'Government of India Standard Treatment Guidelines'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Adopted Date: </w:t>
      </w:r>
      <w:r>
        <w:t>Enter the actual adopted date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Clinical Condition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Guideline/Protocol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Source (National/International Body)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Adopted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Community-Acquired Pneumonia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STG for CAP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Government of India Standard Treatment Guidelines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