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COP.11.f — Abduction and abuse prevention (Stop-Work)</w:t>
      </w:r>
    </w:p>
    <w:p>
      <w:r>
        <w:rPr>
          <w:b/>
          <w:sz w:val="30"/>
        </w:rPr>
        <w:t>COP.11 Record 8 — Rapid-Response Testing &amp; Staff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testing of the rapid-response process and staff training in prevention, response, and recognising/escalating suspected abuse. Every time this happens for real, whoever is responsible adds one new row to the table below, filling in: Test/Training Type, Date, Participants, Outcome.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testing of the rapid-response process and staff training in prevention, response, and recognising/escalating suspected abuse. The worked example below shows a real entry: on 15-Jan-2026, test/training type was “Mock drill — infant abduction alert”, participants was “All paediatric ward staff” — so outcome was “Response within 3 minutes; debrief held”.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Test/Training Type: </w:t>
      </w:r>
      <w:r>
        <w:t>Whether this was induction training (for a new staff member) or a periodic refresher. The worked example row below shows 'Mock drill — infant abduction alert'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'15-Jan-2026'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Participants: </w:t>
      </w:r>
      <w:r>
        <w:t>Enter the actual participants for this specific entry — real information from what actually happened, not a placeholder. The worked example row below shows 'All paediatric ward staff'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Outcome: </w:t>
      </w:r>
      <w:r>
        <w:t>What was actually found or what happened as a result — write the real outcome, not just 'done' or 'ok' without detail. The worked example row below shows 'Response within 3 minutes; debrief held'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Test/Training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Participants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Mock drill — infant abduction alert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All paediatric ward staff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Response within 3 minutes; debrief held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