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COP.13.b — Pre-anaesthesia assessment and plan</w:t>
      </w:r>
    </w:p>
    <w:p>
      <w:r>
        <w:rPr>
          <w:b/>
          <w:sz w:val="30"/>
        </w:rPr>
        <w:t>COP.13 Record 2 — Pre-Anaesthesia Assessment &amp; Plan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Completed before OT by a qualified anaesthesiologist, covering all five plan elements plus medication review. Every time this happens for real, whoever is responsible adds one new row to the table below, filling in: Patient ID, Pre-Medications, Type/Agent/Dose, Special Requirements, Post-Anaesthesia Care Plan, Medications Reviewed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completed before OT by a qualified anaesthesiologist, covering all five plan elements plus medication review. The worked example below shows a real entry: patient id was “IP-2026-0601”, pre-medications was “Midazolam 2mg IV”, type/agent/dose was “GA — Sevoflurane”.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partial or skipped assessment misses exactly the thing it was designed to catch — this record is the proof every required part was actually completed, not just some of them.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'IP-2026-0601'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Pre-Medications: </w:t>
      </w:r>
      <w:r>
        <w:t>Enter the actual pre-medications for this specific entry — real information from what actually happened, not a placeholder. The worked example row below shows 'Midazolam 2mg IV'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Type/Agent/Dose: </w:t>
      </w:r>
      <w:r>
        <w:t>Enter the actual type/agent/dose for this specific entry — real information from what actually happened, not a placeholder. The worked example row below shows 'GA — Sevoflurane'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Special Requirements: </w:t>
      </w:r>
      <w:r>
        <w:t>Enter the actual special requirements for this specific entry — real information from what actually happened, not a placeholder. The worked example row below shows 'Difficult airway noted'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Post-Anaesthesia Care Plan: </w:t>
      </w:r>
      <w:r>
        <w:t>Enter the actual post-anaesthesia care plan for this specific entry — real information from what actually happened, not a placeholder. The worked example row below shows 'PACU, standard monitoring'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Medications Reviewed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Pre-Medications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Type/Agent/Dose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Special Requirements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Post-Anaesthesia Care Plan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Medications Reviewed (Y/N)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IP-2026-0601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Midazolam 2mg IV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GA — Sevoflurane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Difficult airway noted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PACU, standard monitoring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