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COP.13.i/j — IPC compliance and adverse events</w:t>
      </w:r>
    </w:p>
    <w:p>
      <w:r>
        <w:rPr>
          <w:b/>
          <w:sz w:val="30"/>
        </w:rPr>
        <w:t>COP.13 Record 10 — Anaesthesia IPC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IPC guidelines for anaesthesia procedures exist and are followed. Every time this happens for real, whoever is responsible adds one new row to the table below, filling in: IPC Element, Document Reference, Compliance Evidence.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IPC guidelines for anaesthesia procedures exist and are followed. The worked example below shows a real entry: ipc element was “Laryngoscope blade disinfection between uses”, document reference was “IPC-ANAES-SOP-01”, compliance evidence was “Autoclave log, 11-Jan-2026”.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IPC Element: </w:t>
      </w:r>
      <w:r>
        <w:t>Enter the actual ipc element for this specific entry — real information from what actually happened, not a placeholder. The worked example row below shows 'Laryngoscope blade disinfection between uses'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'IPC-ANAES-SOP-01'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Compliance Evidence: </w:t>
      </w:r>
      <w:r>
        <w:t>Enter the actual compliance evidence for this specific entry — real information from what actually happened, not a placeholder. The worked example row below shows 'Autoclave log, 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IPC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Compliance Evidence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Laryngoscope blade disinfection between uses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IPC-ANAES-SOP-01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Autoclave log, 11-Jan-2026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