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COP.14.a — Written guidance and procedure list</w:t>
      </w:r>
    </w:p>
    <w:p>
      <w:r>
        <w:rPr>
          <w:b/>
          <w:sz w:val="30"/>
        </w:rPr>
        <w:t>COP.14 Record 1 — Surgical Procedure List &amp; Competency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Lists procedures offered and the competency level required for each. Every time this happens for real, whoever is responsible adds one new row to the table below, filling in: Procedure, Competency Level Required, Document Reference.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procedures offered and the competency level required for each. The worked example below shows a real entry: procedure was “Laparoscopic cholecystectomy”, competency level required was “Consultant General Surgeon”, document reference was “SURG-LIST-01, v1.2”.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Procedure: </w:t>
      </w:r>
      <w:r>
        <w:t>Name the specific procedure or service this entry is about. The worked example row below shows 'Laparoscopic cholecystectomy'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Competency Level Required: </w:t>
      </w:r>
      <w:r>
        <w:t>Enter the actual competency level required for this specific entry — real information from what actually happened, not a placeholder. The worked example row below shows 'Consultant General Surgeon'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Document Reference: </w:t>
      </w:r>
      <w:r>
        <w:t>Enter the actual document reference for this specific entry — real information from what actually happened, not a placeholder. The worked example row below shows 'SURG-LIST-01, v1.2'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Procedure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Competency Level Required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Document Reference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Laparoscopic cholecystectomy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Consultant General Surgeon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SURG-LIST-01, v1.2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