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COP.14.e — Operative note and post-operative care</w:t>
      </w:r>
    </w:p>
    <w:p>
      <w:r>
        <w:rPr>
          <w:b/>
          <w:sz w:val="30"/>
        </w:rPr>
        <w:t>COP.14 Record 7 — Post-Operative Care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post-operative care plan for every surgical patient. Every time this happens for real, whoever is responsible adds one new row to the table below, filling in: Patient ID, Care Plan Element, Documented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documented post-operative care plan for every surgical patient. The worked example below shows a real entry: patient id was “IP-2026-0701”, care plan element was “Pain management, diet advancement, mobilisation plan”, documented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that's planned by only one person, or never actually written down as a plan, tends to fragment between different clinicians — this record proves the plan was made together and is something the whole team is actually following.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'IP-2026-0701'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Care Plan Element: </w:t>
      </w:r>
      <w:r>
        <w:t>Enter the actual care plan element for this specific entry — real information from what actually happened, not a placeholder. The worked example row below shows 'Pain management, diet advancement, mobilisation plan'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Care Plan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Documented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IP-2026-0701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Pain management, diet advancement, mobilisation plan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