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COP.15.b — Clinical practice guidelines and care plans</w:t>
      </w:r>
    </w:p>
    <w:p>
      <w:r>
        <w:rPr>
          <w:b/>
          <w:sz w:val="30"/>
        </w:rPr>
        <w:t>COP.15 Record 3 — Transplant CPG — Six Content Areas Checklist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guidance covers indication, recipient fitness, donor fitness, education/consent, organ recovery, and organ compatibility. Every time this happens for real, whoever is responsible adds one new row to the table below, filling in: Content Area, Document Reference, Last Reviewed.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takes consent fills this in for a real patient at the time it's actually taken — in this case, that means guidance covers indication, recipient fitness, donor fitness, education/consent, organ recovery, and organ compatibility. The worked example below shows a real entry: content area was “Recipient fitness criteria”, document reference was “TXP-CPG-02, v1.1”, last reviewed was “05-Jan-2026”.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Consent that wasn't actually explained, or wasn't properly witnessed, isn't valid consent even if a signature exists — this record is where that gets verified.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Content Area: </w:t>
      </w:r>
      <w:r>
        <w:t>Which department, ward or area this relates to. The worked example row below shows 'Recipient fitness criteria'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Document Reference: </w:t>
      </w:r>
      <w:r>
        <w:t>Enter the actual document reference for this specific entry — real information from what actually happened, not a placeholder. The worked example row below shows 'TXP-CPG-02, v1.1'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Last Reviewed: </w:t>
      </w:r>
      <w:r>
        <w:t>Enter the actual last reviewed for this specific entry — real information from what actually happened, not a placeholder. The worked example row below shows '05-Jan-2026'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Content Area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Document Reference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Last Reviewed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Recipient fitness criteria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TXP-CPG-02, v1.1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