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COP.16.a — Vulnerable patients (Stop-Work)</w:t>
      </w:r>
    </w:p>
    <w:p>
      <w:r>
        <w:rPr>
          <w:b/>
          <w:sz w:val="30"/>
        </w:rPr>
        <w:t>COP.16 Record 1 — Vulnerable Patient Twice-Daily Monitoring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Written guidance for vulnerable patient identification/management; monitoring records showing assessment at least twice a day. Every time this happens for real, whoever is responsible adds one new row to the table below, filling in: Patient ID, Vulnerability Category, Morning Assessment, Evening Assessment.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document owner issues a new version only when the actual guidance genuinely changes, keeping every past version rather than overwriting it — in this case, that means written guidance for vulnerable patient identification/management; monitoring records showing assessment at least twice a day. The worked example below shows a real entry: patient id was “IP-2026-0901”, vulnerability category was “Elderly, cognitively impaired”, morning assessment was “08:00 — stable”.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Without a written, approved version of this, every clinician ends up applying their own judgement inconsistently, and there's nothing concrete to train new staff against.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'IP-2026-0901'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Vulnerability Category: </w:t>
      </w:r>
      <w:r>
        <w:t>Enter the actual vulnerability category for this specific entry — real information from what actually happened, not a placeholder. The worked example row below shows 'Elderly, cognitively impaired'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Morning Assessment: </w:t>
      </w:r>
      <w:r>
        <w:t>Enter the actual morning assessment for this specific entry — real information from what actually happened, not a placeholder. The worked example row below shows '08:00 — stable'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Evening Assessment: </w:t>
      </w:r>
      <w:r>
        <w:t>Enter the actual evening assessment for this specific entry — real information from what actually happened, not a placeholder. The worked example row below shows '20:00 — stable'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Vulnerability Category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Morning Assessment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Evening Assessment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IP-2026-0901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Elderly, cognitively impaired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08:00 — stable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20:00 — stable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