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Pressure-Ulcer Risk Assessment and Prevention</w:t>
      </w:r>
    </w:p>
    <w:p>
      <w:r>
        <w:t>«Hospital Name» — Supports COP.16.c (Stop-Work)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identifies patients at risk of developing a new pressure ulcer, or of an existing one worsening, and manages both scenarios.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identifies patients at risk of developing a new pressure ulcer, or of an existing one worsening, and manages both scenarios.</w:t>
      </w:r>
    </w:p>
    <w:p>
      <w:pPr>
        <w:pStyle w:val="Heading1"/>
      </w:pPr>
      <w:r>
        <w:t>2. Scope</w:t>
      </w:r>
    </w:p>
    <w:p>
      <w:r>
        <w:t>Applies to every in-patient at admission and on any significant change in condition or mobility.</w:t>
      </w:r>
    </w:p>
    <w:p>
      <w:pPr>
        <w:pStyle w:val="Heading1"/>
      </w:pPr>
      <w:r>
        <w:t>3. Responsibility</w:t>
      </w:r>
    </w:p>
    <w:p>
      <w:r>
        <w:t xml:space="preserve">Admitting/Ward Nurse: </w:t>
      </w:r>
      <w:r>
        <w:t>completes the pressure-ulcer risk assessment and implements the resulting management plan.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Assess every patient using the hospital's adopted validated tool (e.g. Braden Scale) at admission.</w:t>
      </w:r>
    </w:p>
    <w:p>
      <w:r>
        <w:t>2. Commonly used Braden Scale bands: 15-18 — mild risk; 13-14 — moderate risk; 10-12 — high risk; 9 or below — severe risk. [Hospital to define: confirm the exact score bands this hospital has adopted.]</w:t>
      </w:r>
    </w:p>
    <w:p>
      <w:r>
        <w:t>3. The assessment covers both risk scenarios separately: risk of developing a new pressure ulcer, and risk of an existing pressure ulcer worsening. Address both, not just one.</w:t>
      </w:r>
    </w:p>
    <w:p>
      <w:r>
        <w:t>4. For patients found at risk, implement management per written guidance (e.g. repositioning schedule, pressure-relieving mattress, skin inspection frequency).</w:t>
      </w:r>
    </w:p>
    <w:p>
      <w:r>
        <w:t>5. Reassess on any significant change in mobility, nutrition, or overall condition.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European Pressure Ulcer Advisory Panel, National Pressure Injury Advisory Panel, &amp; Pan Pacific Pressure Injury Alliance. (2019). Prevention and treatment of pressure ulcers/injuries: Clinical practice guideline (3rd ed.).</w:t>
        </w:r>
      </w:hyperlink>
    </w:p>
    <w:p>
      <w:pPr>
        <w:pStyle w:val="Heading1"/>
      </w:pPr>
      <w:r>
        <w:t>5.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Do not use a non-validated or informal method as a substitute for the adopted pressure-ulcer risk tool. Do not assess only for new-ulcer risk while ignoring worsening risk for a patient who already has one — both must be addressed. Raising a missed or overdue assessment is not a disciplinary matter.</w:t>
      </w:r>
    </w:p>
    <w:p>
      <w:pPr>
        <w:pStyle w:val="Heading1"/>
      </w:pPr>
      <w:r>
        <w:t>6. Records</w:t>
      </w:r>
    </w:p>
    <w:p>
      <w:r>
        <w:t>Supported by Record 4 of the COP.16 Required Records pack: Pressure-Ulcer Risk Assessment Record.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High-Risk Patients — Identification and Management (HCO/COP/POL/16) — COP.16 policy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1">
        <w:r>
          <w:rPr>
            <w:color w:val="0563C1"/>
            <w:u w:val="single"/>
          </w:rPr>
          <w:t>Bergstrom et al. (1987) — The Braden Scale for predicting pressure sore risk</w:t>
        </w:r>
      </w:hyperlink>
    </w:p>
    <w:p>
      <w:pPr>
        <w:pStyle w:val="Heading1"/>
      </w:pPr>
      <w:r>
        <w:t>9. Review</w:t>
      </w:r>
    </w:p>
    <w:p>
      <w:r>
        <w:t>Reviewed annually, and immediately after any hospital-acquired pressure ulcer of Stage 2 or higher.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ternationalguideline.com/2019" TargetMode="External"/><Relationship Id="rId10" Type="http://schemas.openxmlformats.org/officeDocument/2006/relationships/hyperlink" Target="https://nabh.co/programmes/hospitals-accreditation-programme-hco/" TargetMode="External"/><Relationship Id="rId11" Type="http://schemas.openxmlformats.org/officeDocument/2006/relationships/hyperlink" Target="https://pubmed.ncbi.nlm.nih.gov/329927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