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COP.18.a — Rehabilitation scope</w:t>
      </w:r>
    </w:p>
    <w:p>
      <w:r>
        <w:rPr>
          <w:b/>
          <w:sz w:val="30"/>
        </w:rPr>
        <w:t>COP.18 Record 1 — Rehabilitation Scope-to-Service Match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Confirms the rehabilitation service scope matches the clinical services requiring it. Every time this happens for real, whoever is responsible adds one new row to the table below, filling in: Clinical Service, Rehabilitation Available (Y/N), Type of Rehab Offered.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the rehabilitation service scope matches the clinical services requiring it. The worked example below shows a real entry: clinical service was “Orthopaedic Surgery”, rehabilitation available (y/n) was “Yes”, type of rehab offered was “Physiotherapy, post-op mobilisation”.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Without a clear written boundary on who does what, real clinical decisions default to whoever happens to be around at the time — this record is the documented, agreed line.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Clinical Service: </w:t>
      </w:r>
      <w:r>
        <w:t>Name the specific procedure or service this entry is about. The worked example row below shows 'Orthopaedic Surgery'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Rehabilitation Available (Y/N): </w:t>
      </w:r>
      <w:r>
        <w:t>Answer honestly with what's actually true — Y or N. Don't default to Y without checking. The worked example row below shows 'Yes'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Type of Rehab Offered: </w:t>
      </w:r>
      <w:r>
        <w:t>Enter the actual type of rehab offered for this specific entry — real information from what actually happened, not a placeholder. The worked example row below shows 'Physiotherapy, post-op mobilisation'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Clinical Service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Rehabilitation Available (Y/N)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Type of Rehab Offered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Orthopaedic Surgery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Yes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Physiotherapy, post-op mobilisation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