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COP.18.b — Written guidance</w:t>
      </w:r>
    </w:p>
    <w:p>
      <w:r>
        <w:rPr>
          <w:b/>
          <w:sz w:val="30"/>
        </w:rPr>
        <w:t>COP.18 Record 2 — Rehabilitation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Based on STG or sound clinical practice, governing rehabilitation services organisation-wide. Every time this happens for real, whoever is responsible adds one new row to the table below, filling in: Guidance Topic,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based on STG or sound clinical practice, governing rehabilitation services organisation-wide. The worked example below shows a real entry: guidance topic was “Post-stroke rehabilitation protocol”, document reference was “REHAB-SOP-02,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Topic: </w:t>
      </w:r>
      <w:r>
        <w:t>Enter the actual guidance topic for this specific entry — real information from what actually happened, not a placeholder. The worked example row below shows 'Post-stroke rehabilitation protocol'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'REHAB-SOP-02,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Topic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Post-stroke rehabilitation protocol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REHAB-SOP-02,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