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COP.18.e — Functional assessment</w:t>
      </w:r>
    </w:p>
    <w:p>
      <w:r>
        <w:rPr>
          <w:b/>
          <w:sz w:val="30"/>
        </w:rPr>
        <w:t>COP.18 Record 7 — Periodic Re-Assessment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Reassessment by a qualified individual, documented separately from the initial assessment. Every time this happens for real, whoever is responsible adds one new row to the table below, filling in: Patient ID, Reassessment Date, Score, Reassessed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reassessment by a qualified individual, documented separately from the initial assessment. The worked example below shows a real entry: on 18-Jan-2026, patient id was “IP-2026-1101”, score was “62/100”, reassessed by was “Physiotherapist R. Desai”.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'IP-2026-1101'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Reassessment Date: </w:t>
      </w:r>
      <w:r>
        <w:t>Enter the actual reassessment date for this specific entry — real information from what actually happened, not a placeholder. The worked example row below shows '18-Jan-2026'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Score: </w:t>
      </w:r>
      <w:r>
        <w:t>The actual score or risk level as assessed at the time — not adjusted afterward to look better. The worked example row below shows '62/100'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Reassessed By: </w:t>
      </w:r>
      <w:r>
        <w:t>Enter the actual reassessed by for this specific entry — real information from what actually happened, not a placeholder. The worked example row below shows 'Physiotherapist R. Desai'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Reassessment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Score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Reassessed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IP-2026-1101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62/100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Physiotherapist R. Desai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