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COP.19.b — Dietician-led assessment</w:t>
      </w:r>
    </w:p>
    <w:p>
      <w:r>
        <w:rPr>
          <w:b/>
          <w:sz w:val="30"/>
        </w:rPr>
        <w:t>COP.19 Record 2 — Dietician Nutritional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Conducted by a dietician (not the screener) for at-risk patients, covering planning, preparation, and distribution. Every time this happens for real, whoever is responsible adds one new row to the table below, filling in: Patient ID, Assessed By (Dietician), Planning (Y/N), Preparation (Y/N), Distribution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conducted by a dietician (not the screener) for at-risk patients, covering planning, preparation, and distribution. The worked example below shows a real entry: patient id was “IP-2026-1201”, assessed by (dietician) was “Dietician N. Shah”, planning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risk that's never actually screened for is a risk nobody is managing — this record proves the screening happened for this specific patient, not just that a form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'IP-2026-1201'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Assessed By (Dietician): </w:t>
      </w:r>
      <w:r>
        <w:t>Enter the actual assessed by (dietician) for this specific entry — real information from what actually happened, not a placeholder. The worked example row below shows 'Dietician N. Shah'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Planning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Preparation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Distribution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Assessed By (Dietician)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Planning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Preparation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Distribution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IP-2026-1201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Dietician N. Shah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