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COP.2.a — Emergency area and resources</w:t>
      </w:r>
    </w:p>
    <w:p>
      <w:r>
        <w:rPr>
          <w:b/>
          <w:sz w:val="30"/>
        </w:rPr>
        <w:t>COP.2 Record 3 — Emergency Personnel Privileging &amp; Training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emergency staff are privileged and receive ongoing training. Every time this happens for real, whoever is responsible adds one new row to the table below, filling in: Staff Name, Privileged For, Training Date, Next Due.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emergency staff are privileged and receive ongoing training. The worked example below shows a real entry: on 01-Jun-2025, staff name was “Dr. R. Iyer”, privileged for was “Adult &amp; paediatric emergency care”, next due was “01-Jun-2026”.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staff member involved. The worked example row below shows 'Dr. R. Iyer'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Privileged For: </w:t>
      </w:r>
      <w:r>
        <w:t>Enter the actual privileged for for this specific entry — real information from what actually happened, not a placeholder. The worked example row below shows 'Adult &amp; paediatric emergency care'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Training Date: </w:t>
      </w:r>
      <w:r>
        <w:t>Enter the actual training date for this specific entry — real information from what actually happened, not a placeholder. The worked example row below shows '01-Jun-2025'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Next Due: </w:t>
      </w:r>
      <w:r>
        <w:t>Enter the actual next due for this specific entry — real information from what actually happened, not a placeholder. The worked example row below shows '01-Jun-2026'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Privileged For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Training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Next Due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R. Iyer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Adult &amp; paediatric emergency care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01-Jun-2025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01-Jun-2026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