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COP.2.i — Patients found dead on arrival or dying within minutes of arrival</w:t>
      </w:r>
    </w:p>
    <w:p>
      <w:r>
        <w:rPr>
          <w:b/>
          <w:sz w:val="30"/>
        </w:rPr>
        <w:t>COP.2 Record 18 — Body Handover &amp; MCCD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Medical certificate of cause of death process and body handover documentation. Every time this happens for real, whoever is responsible adds one new row to the table below, filling in: Patient ID, MCCD Issued (Y/N), Issued By, Handed Over To,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medical certificate of cause of death process and body handover documentation. The worked example below shows a real entry: on 11-Jan-2026, patient id was “ER-2026-0720”, mccd issued (y/n) was “Yes”, issued by was “Dr. R. Iyer”.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handed from one person, shift or setting to another is one of the most common points where information gets lost — this record is what proves the handover actually happened and what was actually passed 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'ER-2026-0720'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MCCD Issued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Issued By: </w:t>
      </w:r>
      <w:r>
        <w:t>Enter the actual issued by for this specific entry — real information from what actually happened, not a placeholder. The worked example row below shows 'Dr. R. Iyer'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Handed Over To: </w:t>
      </w:r>
      <w:r>
        <w:t>Enter the actual handed over to for this specific entry — real information from what actually happened, not a placeholder. The worked example row below shows 'Next of kin'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'11-Jan-2026'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MCCD Issued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Issued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Handed Over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ER-2026-0720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R. Iyer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Next of kin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