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Ambulance Dispatch, Checks and In-Transit Care</w:t>
      </w:r>
    </w:p>
    <w:p>
      <w:r>
        <w:t>«Hospital Name» — Supports COP.3.e through COP.3.g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dispatches an ambulance, keeps it ready through daily checks, and delivers safe in-transit care with continuous communication.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dispatches an ambulance, keeps it ready through daily checks, and delivers safe in-transit care with continuous communication.</w:t>
      </w:r>
    </w:p>
    <w:p>
      <w:pPr>
        <w:pStyle w:val="Heading1"/>
      </w:pPr>
      <w:r>
        <w:t>2. Scope</w:t>
      </w:r>
    </w:p>
    <w:p>
      <w:r>
        <w:t>Applies to every ambulance run by «Hospital Name», for emergency, inter-facility, and scheduled transport.</w:t>
      </w:r>
    </w:p>
    <w:p>
      <w:pPr>
        <w:pStyle w:val="Heading1"/>
      </w:pPr>
      <w:r>
        <w:t>3. Responsibility</w:t>
      </w:r>
    </w:p>
    <w:p>
      <w:r>
        <w:t xml:space="preserve">Ambulance Driver: </w:t>
      </w:r>
      <w:r>
        <w:t>completes daily vehicle-system checks and drives per the defined departure timeframe.</w:t>
      </w:r>
    </w:p>
    <w:p>
      <w:r>
        <w:t xml:space="preserve">Ambulance Nurse/Paramedic: </w:t>
      </w:r>
      <w:r>
        <w:t>checks medical equipment and medication, and delivers in-transit care.</w:t>
      </w:r>
    </w:p>
    <w:p>
      <w:r>
        <w:t xml:space="preserve">Control Room Staff: </w:t>
      </w:r>
      <w:r>
        <w:t>maintains continuous communication throughout the trip.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Daily and post-trip checks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verification means a gap — or the wrong patient — could sail straight through unnoticed.</w:t>
      </w:r>
    </w:p>
    <w:p>
      <w:r>
        <w:t>1. Complete daily checks of lights, siren, beacon, fuel, and tyres before the ambulance goes into service.</w:t>
      </w:r>
    </w:p>
    <w:p>
      <w:r>
        <w:t>2. If any daily check fails, the ambulance does not go into service — ground it, tag it as out of service, and inform the Ambulance In-Charge immediately for repair or replacement before any dispatch.</w:t>
      </w:r>
    </w:p>
    <w:p>
      <w:r>
        <w:t>3. Check medical equipment and medication expiry daily, and top up consumables after every trip.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Ministry of Road Transport and Highways, Government of India. (2013). National Ambulance Code (AIS-125).</w:t>
        </w:r>
      </w:hyperlink>
    </w:p>
    <w:p>
      <w:pPr>
        <w:pStyle w:val="Heading2"/>
      </w:pPr>
      <w:r>
        <w:t>4.2 Dispatch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handed from one team, vehicle or setting to another is vulnerable exactly at that transition point — this step exists to protect them there.</w:t>
      </w:r>
    </w:p>
    <w:p>
      <w:r>
        <w:t>1. Log the call receipt time, and depart within the hospital's defined timeframe.</w:t>
      </w:r>
    </w:p>
    <w:p>
      <w:r>
        <w:t>2. Maintain continuous wireless/mobile communication with the control room throughout the trip.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Ministry of Road Transport and Highways, Government of India. (2013). National Ambulance Code (AIS-125).</w:t>
        </w:r>
      </w:hyperlink>
    </w:p>
    <w:p>
      <w:pPr>
        <w:pStyle w:val="Heading2"/>
      </w:pPr>
      <w:r>
        <w:t>4.3 In-transit care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Open a patient file from the first communication with the referring point, capturing age, weight, provisional diagnosis, and ongoing treatment.</w:t>
      </w:r>
    </w:p>
    <w:p>
      <w:r>
        <w:t>2. Name one person as responsible for in-transit clinical decisions for each trip.</w:t>
      </w:r>
    </w:p>
    <w:p>
      <w:r>
        <w:t>3. Hand over to the receiving medical professional directly, with a complete verbal and written summary.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World Health Organization. (2007). Communication during patient hand-overs (Patient Safety Solutions, Vol. 1, Solution 3).</w:t>
        </w:r>
      </w:hyperlink>
    </w:p>
    <w:p>
      <w:pPr>
        <w:pStyle w:val="Heading1"/>
      </w:pPr>
      <w:r>
        <w:t>5. Records</w:t>
      </w:r>
    </w:p>
    <w:p>
      <w:r>
        <w:t>Supported by Records 6, 7, 8, 9, 10, and 11 of the COP.3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Ambulance Services (HCO/COP/POL/03) — COP.3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AIS-125 (Part 1): Requirements for Ambulances Used for Transportation of Patients (2014)</w:t>
        </w:r>
      </w:hyperlink>
    </w:p>
    <w:p>
      <w:pPr>
        <w:pStyle w:val="Heading1"/>
      </w:pPr>
      <w:r>
        <w:t>8. Review</w:t>
      </w:r>
    </w:p>
    <w:p>
      <w:r>
        <w:t>Reviewed annually, and immediately after any ambulance-related adverse event.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orth.nic.in/en/gsr-868e-regarding-ambulance-code" TargetMode="External"/><Relationship Id="rId10" Type="http://schemas.openxmlformats.org/officeDocument/2006/relationships/hyperlink" Target="https://cdn.who.int/media/docs/default-source/patient-safety/patient-safety-solutions/ps-solution3-communication-during-patient-handovers.pdf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law.resource.org/pub/in/bis/ais/arai.in.ais.125-1.201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