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COP.5.c — Equipment and medications</w:t>
      </w:r>
    </w:p>
    <w:p>
      <w:r>
        <w:rPr>
          <w:b/>
          <w:sz w:val="30"/>
        </w:rPr>
        <w:t>COP.5 Record 4 — Emergency Medication &amp; Intubation Equipment Coverage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emergency medications and intubation equipment are available in all named high-risk areas. Every time this happens for real, whoever is responsible adds one new row to the table below, filling in: Area, Medications Available (Y/N), Intubation Equipment Available (Y/N), Last Checked.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emergency medications and intubation equipment are available in all named high-risk areas. The worked example below shows a real entry: area was “Dialysis Unit”, medications available (y/n) was “Yes”, intubation equipment available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Area: </w:t>
      </w:r>
      <w:r>
        <w:t>Which department, ward or area this relates to. The worked example row below shows 'Dialysis Unit'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Medications Available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Intubation Equipment Available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Checked: </w:t>
      </w:r>
      <w:r>
        <w:t>Enter the actual last checked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Area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Medications Available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Intubation Equipment Available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Last Checked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Dialysis Unit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