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COP.6.c — Acuity-based staffing</w:t>
      </w:r>
    </w:p>
    <w:p>
      <w:r>
        <w:rPr>
          <w:b/>
          <w:sz w:val="30"/>
        </w:rPr>
        <w:t>COP.6 Record 4 — Acuity-Based Staffing &amp; Outcome Monitoring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staffing numbers/competence match patient acuity, with outcome monitoring. Every time this happens for real, whoever is responsible adds one new row to the table below, filling in: Ward/Unit, Acuity Level, Nurse-Patient Ratio, Patient Outcome Monitored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staffing numbers/competence match patient acuity, with outcome monitoring. The worked example below shows a real entry: ward/unit was “ICU”, acuity level was “High acuity”, nurse-patient ratio was “1:2” — so patient outcome monitored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patient who deteriorates between checks is only caught if the checks actually happened and were written down — this record is that evidence.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Ward/Unit: </w:t>
      </w:r>
      <w:r>
        <w:t>Enter the actual ward/unit for this specific entry — real information from what actually happened, not a placeholder. The worked example row below shows 'ICU'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Acuity Level: </w:t>
      </w:r>
      <w:r>
        <w:t>Enter the actual acuity level for this specific entry — real information from what actually happened, not a placeholder. The worked example row below shows 'High acuity'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Nurse-Patient Ratio: </w:t>
      </w:r>
      <w:r>
        <w:t>The actual ratio observed or assigned at the time — a real number, not a target or rounded estimate. The worked example row below shows '1:2'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Patient Outcome Monitored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Ward/Unit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Acuity Level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Nurse-Patient Ratio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Outcome Monitored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ICU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High acuity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1:2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