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COP.6.d — Nursing care plan</w:t>
      </w:r>
    </w:p>
    <w:p>
      <w:r>
        <w:rPr>
          <w:b/>
          <w:sz w:val="30"/>
        </w:rPr>
        <w:t>COP.6 Record 5 — Nursing Care Plan Content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each individualised nursing care plan covers all five components: assessment, plan, implementation, evaluation, modification. Every time this happens for real, whoever is responsible adds one new row to the table below, filling in: Patient ID, Assessment (Y/N), Plan of Care (Y/N), Implementation (Y/N), Evaluation (Y/N), Modification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each individualised nursing care plan covers all five components: assessment, plan, implementation, evaluation, modification. The worked example below shows a real entry: patient id was “IP-2026-0231”, assessment (y/n) was “Yes”, plan of care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procedure that's never checked against real practice is just a document — this record is what proves the procedure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'IP-2026-0231'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Assessment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Plan of Care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Implementation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Evaluation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Modification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Assessment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Plan of Care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Implementation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Evaluation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Modification (Y/N)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IP-2026-0231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