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COP.7.a — Clinical indication and written guidance</w:t>
      </w:r>
    </w:p>
    <w:p>
      <w:r>
        <w:rPr>
          <w:b/>
          <w:sz w:val="30"/>
        </w:rPr>
        <w:t>COP.7 Record 1 — Clinical-Indication Compliance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every procedure is based on clinical need and consistent with standard treatment guidelines or sound practice. Every time this happens for real, whoever is responsible adds one new row to the table below, filling in: Patient ID, Procedure, Indication, Consistent with Guideline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every procedure is based on clinical need and consistent with standard treatment guidelines or sound practice. The worked example below shows a real entry: patient id was “IP-2026-0301”, procedure was “Diagnostic bronchoscopy”, indication was “Persistent haemoptysis”.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'IP-2026-0301'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'Diagnostic bronchoscopy' in this column, so you can see the level of detail expected — write your own real entry in that same style, not a copy of the example.</w:t>
      </w:r>
    </w:p>
    <w:p>
      <w:pPr>
        <w:pStyle w:val="ListParagraph"/>
      </w:pPr>
      <w:r>
        <w:rPr>
          <w:b/>
        </w:rPr>
        <w:t xml:space="preserve">Indication: </w:t>
      </w:r>
      <w:r>
        <w:t>Enter the actual indication for this specific entry — real information from what actually happened, not a placeholder. The worked example row below shows 'Persistent haemoptysis' in this column, so you can see the level of detail expected — write your own real entry in that same style, not a copy of the example.</w:t>
      </w:r>
    </w:p>
    <w:p>
      <w:pPr>
        <w:pStyle w:val="ListParagraph"/>
      </w:pPr>
      <w:r>
        <w:rPr>
          <w:b/>
        </w:rPr>
        <w:t xml:space="preserve">Consistent with Guideline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Procedure</w:t>
            </w:r>
          </w:p>
        </w:tc>
        <w:tc>
          <w:tcPr>
            <w:tcW w:type="dxa" w:w="2420"/>
            <w:shd w:val="clear" w:fill="D9E2F3"/>
          </w:tcPr>
          <w:p>
            <w:r/>
            <w:r>
              <w:rPr>
                <w:b/>
                <w:sz w:val="20"/>
              </w:rPr>
              <w:t>Indication</w:t>
            </w:r>
          </w:p>
        </w:tc>
        <w:tc>
          <w:tcPr>
            <w:tcW w:type="dxa" w:w="2420"/>
            <w:shd w:val="clear" w:fill="D9E2F3"/>
          </w:tcPr>
          <w:p>
            <w:r/>
            <w:r>
              <w:rPr>
                <w:b/>
                <w:sz w:val="20"/>
              </w:rPr>
              <w:t>Consistent with Guideline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IP-2026-0301</w:t>
            </w:r>
          </w:p>
        </w:tc>
        <w:tc>
          <w:tcPr>
            <w:tcW w:type="dxa" w:w="2420"/>
            <w:shd w:val="clear" w:fill="FFF2CC"/>
          </w:tcPr>
          <w:p>
            <w:r/>
            <w:r>
              <w:rPr>
                <w:b w:val="0"/>
                <w:sz w:val="20"/>
              </w:rPr>
              <w:t>Diagnostic bronchoscopy</w:t>
            </w:r>
          </w:p>
        </w:tc>
        <w:tc>
          <w:tcPr>
            <w:tcW w:type="dxa" w:w="2420"/>
            <w:shd w:val="clear" w:fill="FFF2CC"/>
          </w:tcPr>
          <w:p>
            <w:r/>
            <w:r>
              <w:rPr>
                <w:b w:val="0"/>
                <w:sz w:val="20"/>
              </w:rPr>
              <w:t>Persistent haemoptysis</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