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COP.7.b — Written guidance, equipment and pre-procedure assessment</w:t>
      </w:r>
    </w:p>
    <w:p>
      <w:r>
        <w:rPr>
          <w:b/>
          <w:sz w:val="30"/>
        </w:rPr>
        <w:t>COP.7 Record 3 — Pre-Procedure Vitals Assessment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patient vitals were assessed before every procedure. Every time this happens for real, whoever is responsible adds one new row to the table below, filling in: Patient ID, Procedure, Vitals Assessed (Y/N), Assessed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patient vitals were assessed before every procedure. The worked example below shows a real entry: patient id was “IP-2026-0301”, procedure was “Diagnostic bronchoscopy”, vitals assessed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'Diagnostic bronchoscopy'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Vitals Assessed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Assessed By: </w:t>
      </w:r>
      <w:r>
        <w:t>Enter the actual assessed by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Vitals Assessed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Assessed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IP-2026-0301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Diagnostic bronchoscopy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