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COP.7.d — Patient/procedure/site verification checklist</w:t>
      </w:r>
    </w:p>
    <w:p>
      <w:r>
        <w:rPr>
          <w:b/>
          <w:sz w:val="30"/>
        </w:rPr>
        <w:t>COP.7 Record 7 — Site-Marking Patient Involvement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patient or relative involvement in site marking whenever possible. Every time this happens for real, whoever is responsible adds one new row to the table below, filling in: Patient ID, Procedure, Patient/Relative Involved (Y/N), If No, Reason.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patient or relative involvement in site marking whenever possible. The worked example below shows a real entry: patient id was “IP-2026-0301”, procedure was “Diagnostic bronchoscopy”, patient/relative involved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Operating on the wrong site is one of the most catastrophic, entirely preventable errors in surgery — this record is the proof the correct site was actually marked and checked, not assumed.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'IP-2026-0301'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Procedure: </w:t>
      </w:r>
      <w:r>
        <w:t>Name the specific procedure or service this entry is about. The worked example row below shows 'Diagnostic bronchoscopy'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Patient/Relative Involved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If No, Reason: </w:t>
      </w:r>
      <w:r>
        <w:t>Enter the actual if no, reason for this specific entry — real information from what actually happened, not a placeholder. The worked example row below shows 'N/A'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Patient/Relative Involved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If No, Reason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IP-2026-0301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Diagnostic bronchoscopy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