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COP.8.d — Transfusion elements, mismatch prevention and HBTC</w:t>
      </w:r>
    </w:p>
    <w:p>
      <w:r>
        <w:rPr>
          <w:b/>
          <w:sz w:val="30"/>
        </w:rPr>
        <w:t>COP.8 Record 8 — Transfusion Record — Eight Elements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Patient consent, cold-chain transport, identification, order verification, storage, administration, monitoring, and reaction response. Every time this happens for real, whoever is responsible adds one new row to the table below, filling in: Patient ID, Consent (Y/N), Cold Chain Maintained (Y/N), ID Verified (Y/N), Order Verified (Y/N), Monitored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 — in this case, that means patient consent, cold-chain transport, identification, order verification, storage, administration, monitoring, and reaction response. The worked example below shows a real entry: patient id was “IP-2026-0350”, consent (y/n) was “Yes”, cold chain maintained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Consent that wasn't actually explained, or wasn't properly witnessed, isn't valid consent even if a signature exists — this record is where that gets verified.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'IP-2026-0350'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Consent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Cold Chain Maintained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ID Verified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Order Verified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Monitored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Consent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Cold Chain Maintained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ID Verified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Order Verified (Y/N)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Monitored (Y/N)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IP-2026-0350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