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Blood and Blood Component Transfusion Administration</w:t>
      </w:r>
    </w:p>
    <w:p>
      <w:r>
        <w:t>«Hospital Name» — Supports COP.8.d, COP.8.e, COP.8.f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administers blood and blood components safely — correct testing, correct identification, correct monitoring, and a fast, correct response to any adverse reaction.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administers blood and blood components safely — correct testing, correct identification, correct monitoring, and a fast, correct response to any adverse reaction.</w:t>
      </w:r>
    </w:p>
    <w:p>
      <w:pPr>
        <w:pStyle w:val="Heading1"/>
      </w:pPr>
      <w:r>
        <w:t>2. Scope</w:t>
      </w:r>
    </w:p>
    <w:p>
      <w:r>
        <w:t>Applies to every transfusion of whole blood or blood components, in every clinical area.</w:t>
      </w:r>
    </w:p>
    <w:p>
      <w:pPr>
        <w:pStyle w:val="Heading1"/>
      </w:pPr>
      <w:r>
        <w:t>3. Responsibility</w:t>
      </w:r>
    </w:p>
    <w:p>
      <w:r>
        <w:t xml:space="preserve">Treating Doctor: </w:t>
      </w:r>
      <w:r>
        <w:t>orders the transfusion with a clear, evidence-based indication.</w:t>
      </w:r>
    </w:p>
    <w:p>
      <w:r>
        <w:t xml:space="preserve">Nursing Staff: </w:t>
      </w:r>
      <w:r>
        <w:t>performs identity verification, administers, and monitors the transfusion.</w:t>
      </w:r>
    </w:p>
    <w:p>
      <w:r>
        <w:t xml:space="preserve">Blood Bank Staff: </w:t>
      </w:r>
      <w:r>
        <w:t>completes pre-transfusion testing and releases only cleared units.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Before the transfusion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indication for transfusion against the hospital's evidence-based criteria before ordering.</w:t>
      </w:r>
    </w:p>
    <w:p>
      <w:r>
        <w:t>2. Obtain informed consent from the patient or attendant.</w:t>
      </w:r>
    </w:p>
    <w:p>
      <w:r>
        <w:t>3. Confirm the unit has cleared TTI testing (Transfusion-Transmissible Infection screening — HIV, Hepatitis B, Hepatitis C, syphilis, and malaria) and Red Cell Serology, and is correctly labelled — never issue or accept an unlabelled or untested unit.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Heading2"/>
      </w:pPr>
      <w:r>
        <w:t>5.2 Identity and order verification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— or the wrong patient — could sail straight through unnoticed.</w:t>
      </w:r>
    </w:p>
    <w:p>
      <w:r>
        <w:t>1. Verify the patient's identity using two identifiers, cross-checked against the unit label, by two staff members independently — this double-check is mandatory, every time.</w:t>
      </w:r>
    </w:p>
    <w:p>
      <w:r>
        <w:t>2. Cross-check the patient's blood group against the unit twice before starting the transfusion.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Heading2"/>
      </w:pPr>
      <w:r>
        <w:t>5.3 During the transfusion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Maintain the cold chain until the moment the unit is started.</w:t>
      </w:r>
    </w:p>
    <w:p>
      <w:r>
        <w:t>2. Monitor the patient closely, especially in the first 15 minutes, when most acute reactions present.</w:t>
      </w:r>
    </w:p>
    <w:p>
      <w:r>
        <w:t>3. If any adverse reaction is suspected — fever, chills, rash, breathlessness, back pain — stop the transfusion immediately, keep the line open with normal saline, and call the treating doctor.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Heading2"/>
      </w:pPr>
      <w:r>
        <w:t>5.4 After a suspected reaction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Report every suspected adverse reaction, evaluate it, and document the evaluation.</w:t>
      </w:r>
    </w:p>
    <w:p>
      <w:r>
        <w:t>2. Apply CAPA for the reaction, and report to the Haemovigilance Programme of India.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National Institute of Biologicals, Government of India. (n.d.). Haemovigilance Programme of India (HvPI).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transfuse a unit without completed pre-transfusion testing, or without two-identifier verification cross-checked against the unit. Do not continue a transfusion once an adverse reaction is suspected — stop immediately. Raising an identity mismatch or a testing gap before transfusion begins is not a disciplinary matter.</w:t>
      </w:r>
    </w:p>
    <w:p>
      <w:pPr>
        <w:pStyle w:val="Heading1"/>
      </w:pPr>
      <w:r>
        <w:t>7. Records</w:t>
      </w:r>
    </w:p>
    <w:p>
      <w:r>
        <w:t>Supported by Records 5, 8, 9, 15, and 16 of the COP.8 Required Records pack.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Transfusion Services (HCO/COP/POL/08) — COP.8 policy</w:t>
      </w:r>
    </w:p>
    <w:p>
      <w:pPr>
        <w:pStyle w:val="ListParagraph"/>
      </w:pPr>
      <w:r>
        <w:t>SOP — Blood Donor Selection and Collection (companion SOP for blood bank operations)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AABB — Fundamental Standards for Blood Collection and Transfusion (2nd edition)</w:t>
        </w:r>
      </w:hyperlink>
    </w:p>
    <w:p>
      <w:pPr>
        <w:pStyle w:val="Heading1"/>
      </w:pPr>
      <w:r>
        <w:t>10. Review</w:t>
      </w:r>
    </w:p>
    <w:p>
      <w:r>
        <w:t>Reviewed annually, and immediately after any serious transfusion reaction or mismatch near-miss.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abb.org/standards-accreditation/standards/blood-banks-and-transfusion-services" TargetMode="External"/><Relationship Id="rId10" Type="http://schemas.openxmlformats.org/officeDocument/2006/relationships/hyperlink" Target="https://www.nib.gov.in/haemovigilance/hvpi_website/hvpi_index.html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www.aabb.org/standards-accreditation/standards/fundamental-standards-for-blood-collection-and-transfu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