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FMS.2.a — Facilities and space provisions are appropriate to the scope of services.</w:t>
      </w:r>
    </w:p>
    <w:p>
      <w:r>
        <w:rPr>
          <w:b/>
          <w:sz w:val="30"/>
        </w:rPr>
        <w:t>FMS.2 Record 2 — Facilities and space provisions are appropriate to the scope of services.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“National or international guidance reference used (for example AERB guidance for a radiation area).” — the specific evidence element Facilities and space provisions are appropriate to the scope of services. of this policy asks for. Every time this happens for real, whoever is responsible adds one new row below with: Reference/Standard Used, Where Applied, Date Confirmed Current, Confirmed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space is mapped against a department's real services, or a mismatch is escalated. The worked example below shows a real entry: on 10-Jan-2026, reference/standard used was “AERB radiation-safety guidance”, where applied was “Radiation/X-ray area design and shielding”, confirmed by was “Facility Manager”.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department squeezed into space that doesn't match what it actually does is a safety and quality problem hiding behind a floor plan — this record proves space was actually checked against real service scope.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Reference/Standard Used: </w:t>
      </w:r>
      <w:r>
        <w:t>The exact reference or standard actually used — name it, don't write 'applicable guidelines.'</w:t>
      </w:r>
    </w:p>
    <w:p>
      <w:pPr>
        <w:pStyle w:val="ListParagraph"/>
      </w:pPr>
      <w:r>
        <w:rPr>
          <w:b/>
        </w:rPr>
        <w:t xml:space="preserve">Where Applied: </w:t>
      </w:r>
      <w:r>
        <w:t>What this reference was actually applied to.</w:t>
      </w:r>
    </w:p>
    <w:p>
      <w:pPr>
        <w:pStyle w:val="ListParagraph"/>
      </w:pPr>
      <w:r>
        <w:rPr>
          <w:b/>
        </w:rPr>
        <w:t xml:space="preserve">Date Confirmed Current: </w:t>
      </w:r>
      <w:r>
        <w:t>The date this was last checked to still be the current version of the reference.</w:t>
      </w:r>
    </w:p>
    <w:p>
      <w:pPr>
        <w:pStyle w:val="ListParagraph"/>
      </w:pPr>
      <w:r>
        <w:rPr>
          <w:b/>
        </w:rPr>
        <w:t xml:space="preserve">Confirmed By: </w:t>
      </w:r>
      <w:r>
        <w:t>Who confirmed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Reference/Standard Used</w:t>
            </w:r>
          </w:p>
        </w:tc>
        <w:tc>
          <w:tcPr>
            <w:tcW w:type="dxa" w:w="2420"/>
            <w:shd w:val="clear" w:fill="D9E2F3"/>
          </w:tcPr>
          <w:p>
            <w:r/>
            <w:r>
              <w:rPr>
                <w:b/>
                <w:sz w:val="20"/>
              </w:rPr>
              <w:t>Where Applied</w:t>
            </w:r>
          </w:p>
        </w:tc>
        <w:tc>
          <w:tcPr>
            <w:tcW w:type="dxa" w:w="2420"/>
            <w:shd w:val="clear" w:fill="D9E2F3"/>
          </w:tcPr>
          <w:p>
            <w:r/>
            <w:r>
              <w:rPr>
                <w:b/>
                <w:sz w:val="20"/>
              </w:rPr>
              <w:t>Date Confirmed Current</w:t>
            </w:r>
          </w:p>
        </w:tc>
        <w:tc>
          <w:tcPr>
            <w:tcW w:type="dxa" w:w="2420"/>
            <w:shd w:val="clear" w:fill="D9E2F3"/>
          </w:tcPr>
          <w:p>
            <w:r/>
            <w:r>
              <w:rPr>
                <w:b/>
                <w:sz w:val="20"/>
              </w:rPr>
              <w:t>Confirmed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AERB radiation-safety guidance</w:t>
            </w:r>
          </w:p>
        </w:tc>
        <w:tc>
          <w:tcPr>
            <w:tcW w:type="dxa" w:w="2420"/>
            <w:shd w:val="clear" w:fill="FFF2CC"/>
          </w:tcPr>
          <w:p>
            <w:r/>
            <w:r>
              <w:rPr>
                <w:b w:val="0"/>
                <w:sz w:val="20"/>
              </w:rPr>
              <w:t>Radiation/X-ray area design and shielding</w:t>
            </w:r>
          </w:p>
        </w:tc>
        <w:tc>
          <w:tcPr>
            <w:tcW w:type="dxa" w:w="2420"/>
            <w:shd w:val="clear" w:fill="FFF2CC"/>
          </w:tcPr>
          <w:p>
            <w:r/>
            <w:r>
              <w:rPr>
                <w:b w:val="0"/>
                <w:sz w:val="20"/>
              </w:rPr>
              <w:t>10-Jan-2026</w:t>
            </w:r>
          </w:p>
        </w:tc>
        <w:tc>
          <w:tcPr>
            <w:tcW w:type="dxa" w:w="2420"/>
            <w:shd w:val="clear" w:fill="FFF2CC"/>
          </w:tcPr>
          <w:p>
            <w:r/>
            <w:r>
              <w:rPr>
                <w:b w:val="0"/>
                <w:sz w:val="20"/>
              </w:rPr>
              <w:t>Facility Manager</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