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FMS.2.c — There are internal and external sign postings in the organisation in a manner understood by the patient, families and community.</w:t>
      </w:r>
    </w:p>
    <w:p>
      <w:r>
        <w:rPr>
          <w:b/>
          <w:sz w:val="30"/>
        </w:rPr>
        <w:t>FMS.2 Record 8 — There are internal and external sign postings in the organisation in a manner understood by the patient, families and community.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“Statutory posting-requirement reference applicable to this site.” — the specific evidence element There are internal and external sign postings in the organisation in a manner understood by the patient, families and community. of this policy asks for. Every time this happens for real, whoever is responsible adds one new row below with: Reference/Standard Used, Where Applied, Date Confirmed Current, Confirmed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signage is inventoried, checked, or the quarterly signage walk is done. The worked example below shows a real entry: on 10-Jan-2026, reference/standard used was “Applicable statutory signage requirement (fire service / local authority)”, where applied was “Internal and external sign-posting”, confirmed by was “Facility Manager”.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Signage nobody can actually read or understand doesn't help a frightened family find the OT in an emergency — this record proves the signs are real, checked and in a form people actually understand.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Reference/Standard Used: </w:t>
      </w:r>
      <w:r>
        <w:t>The exact reference or standard actually used — name it, don't write 'applicable guidelines.'</w:t>
      </w:r>
    </w:p>
    <w:p>
      <w:pPr>
        <w:pStyle w:val="ListParagraph"/>
      </w:pPr>
      <w:r>
        <w:rPr>
          <w:b/>
        </w:rPr>
        <w:t xml:space="preserve">Where Applied: </w:t>
      </w:r>
      <w:r>
        <w:t>What this reference was actually applied to.</w:t>
      </w:r>
    </w:p>
    <w:p>
      <w:pPr>
        <w:pStyle w:val="ListParagraph"/>
      </w:pPr>
      <w:r>
        <w:rPr>
          <w:b/>
        </w:rPr>
        <w:t xml:space="preserve">Date Confirmed Current: </w:t>
      </w:r>
      <w:r>
        <w:t>The date this was last checked to still be the current version of the reference.</w:t>
      </w:r>
    </w:p>
    <w:p>
      <w:pPr>
        <w:pStyle w:val="ListParagraph"/>
      </w:pPr>
      <w:r>
        <w:rPr>
          <w:b/>
        </w:rPr>
        <w:t xml:space="preserve">Confirmed By: </w:t>
      </w:r>
      <w:r>
        <w:t>Who confirmed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Reference/Standard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Where Applied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Confirmed Current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Applicable statutory signage requirement (fire service / local authority)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Internal and external sign-posting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