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FMS.4.d — Utility equipment, are periodically inspected and calibrated (wherever applicable) for their proper functioning.</w:t>
      </w:r>
    </w:p>
    <w:p>
      <w:r>
        <w:rPr>
          <w:b/>
          <w:sz w:val="30"/>
        </w:rPr>
        <w:t>FMS.4 Record 12 — Utility equipment, are periodically inspected and calibrated (wherever applicable) for their proper functioning.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“In-house or outsourced calibration record.” — the specific evidence element Utility equipment, are periodically inspected and calibrated (wherever applicable) for their proper functioning. of this policy asks for. Every time this happens for real, whoever is responsible adds one new row below with: Equipment, Calibration Date, Standard/Traceability Used, Result, Next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actually calibrated. The worked example below shows a real entry: on 08-Jan-2026, equipment was “Medication-refrigerator temperature gauge, Pharmacy”, standard/traceability used was “NABL-accredited calibration lab, traceable to national standard”, next due was “08-Jul-2026” — so result was “Within ±1°C tolerance —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instrument that drifts out of calibration without anyone noticing gives a wrong reading with total confidence — this record is what proves it's still accurate.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exact piece of equipment calibrated — name it and its location.</w:t>
      </w:r>
    </w:p>
    <w:p>
      <w:pPr>
        <w:pStyle w:val="ListParagraph"/>
      </w:pPr>
      <w:r>
        <w:rPr>
          <w:b/>
        </w:rPr>
        <w:t xml:space="preserve">Calibration Date: </w:t>
      </w:r>
      <w:r>
        <w:t>The date calibration was actually carried out.</w:t>
      </w:r>
    </w:p>
    <w:p>
      <w:pPr>
        <w:pStyle w:val="ListParagraph"/>
      </w:pPr>
      <w:r>
        <w:rPr>
          <w:b/>
        </w:rPr>
        <w:t xml:space="preserve">Standard/Traceability Used: </w:t>
      </w:r>
      <w:r>
        <w:t>Which standard or accredited lab this calibration is traceable to — a calibration with no traceability doesn't count as one.</w:t>
      </w:r>
    </w:p>
    <w:p>
      <w:pPr>
        <w:pStyle w:val="ListParagraph"/>
      </w:pPr>
      <w:r>
        <w:rPr>
          <w:b/>
        </w:rPr>
        <w:t xml:space="preserve">Result: </w:t>
      </w:r>
      <w:r>
        <w:t>The actual result — pass, or the adjustment made if it failed.</w:t>
      </w:r>
    </w:p>
    <w:p>
      <w:pPr>
        <w:pStyle w:val="ListParagraph"/>
      </w:pPr>
      <w:r>
        <w:rPr>
          <w:b/>
        </w:rPr>
        <w:t xml:space="preserve">Next Due: </w:t>
      </w:r>
      <w:r>
        <w:t>When this item is next due for calibration.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Calibration Date</w:t>
            </w:r>
          </w:p>
        </w:tc>
        <w:tc>
          <w:tcPr>
            <w:tcW w:type="dxa" w:w="1936"/>
            <w:shd w:val="clear" w:fill="D9E2F3"/>
          </w:tcPr>
          <w:p>
            <w:r/>
            <w:r>
              <w:rPr>
                <w:b/>
                <w:sz w:val="20"/>
              </w:rPr>
              <w:t>Standard/Traceability Used</w:t>
            </w:r>
          </w:p>
        </w:tc>
        <w:tc>
          <w:tcPr>
            <w:tcW w:type="dxa" w:w="1936"/>
            <w:shd w:val="clear" w:fill="D9E2F3"/>
          </w:tcPr>
          <w:p>
            <w:r/>
            <w:r>
              <w:rPr>
                <w:b/>
                <w:sz w:val="20"/>
              </w:rPr>
              <w:t>Result</w:t>
            </w:r>
          </w:p>
        </w:tc>
        <w:tc>
          <w:tcPr>
            <w:tcW w:type="dxa" w:w="1936"/>
            <w:shd w:val="clear" w:fill="D9E2F3"/>
          </w:tcPr>
          <w:p>
            <w:r/>
            <w:r>
              <w:rPr>
                <w:b/>
                <w:sz w:val="20"/>
              </w:rPr>
              <w:t>Next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Medication-refrigerator temperature gauge, Pharmacy</w:t>
            </w:r>
          </w:p>
        </w:tc>
        <w:tc>
          <w:tcPr>
            <w:tcW w:type="dxa" w:w="1936"/>
            <w:shd w:val="clear" w:fill="FFF2CC"/>
          </w:tcPr>
          <w:p>
            <w:r/>
            <w:r>
              <w:rPr>
                <w:b w:val="0"/>
                <w:sz w:val="20"/>
              </w:rPr>
              <w:t>08-Jan-2026</w:t>
            </w:r>
          </w:p>
        </w:tc>
        <w:tc>
          <w:tcPr>
            <w:tcW w:type="dxa" w:w="1936"/>
            <w:shd w:val="clear" w:fill="FFF2CC"/>
          </w:tcPr>
          <w:p>
            <w:r/>
            <w:r>
              <w:rPr>
                <w:b w:val="0"/>
                <w:sz w:val="20"/>
              </w:rPr>
              <w:t>NABL-accredited calibration lab, traceable to national standard</w:t>
            </w:r>
          </w:p>
        </w:tc>
        <w:tc>
          <w:tcPr>
            <w:tcW w:type="dxa" w:w="1936"/>
            <w:shd w:val="clear" w:fill="FFF2CC"/>
          </w:tcPr>
          <w:p>
            <w:r/>
            <w:r>
              <w:rPr>
                <w:b w:val="0"/>
                <w:sz w:val="20"/>
              </w:rPr>
              <w:t>Within ±1°C tolerance — pass</w:t>
            </w:r>
          </w:p>
        </w:tc>
        <w:tc>
          <w:tcPr>
            <w:tcW w:type="dxa" w:w="1936"/>
            <w:shd w:val="clear" w:fill="FFF2CC"/>
          </w:tcPr>
          <w:p>
            <w:r/>
            <w:r>
              <w:rPr>
                <w:b w:val="0"/>
                <w:sz w:val="20"/>
              </w:rPr>
              <w:t>08-Jul-2026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