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FMS.5.e — Qualified and trained personnel operate and maintain medical equipment.</w:t>
      </w:r>
    </w:p>
    <w:p>
      <w:r>
        <w:rPr>
          <w:b/>
          <w:sz w:val="30"/>
        </w:rPr>
        <w:t>FMS.5 Record 13 — Qualified and trained personnel operate and maintain medical equipment.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“Operator-training record per device type (for example blood-gas analyser, electrocardiograph, syringe pump).” — the specific evidence element Qualified and trained personnel operate and maintain medical equipment. of this policy asks for. Every time this happens for real, whoever is responsible adds one new row below with: Date, Staff Name, Equipment/Topic, Trainer, Competent (Y/N).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Biomedical Engineer uses this record whenever an operator is trained on a device, or a maintainer's qualification/training currency is checked. The worked example below shows a real entry: on 10-Jan-2026, staff name was “S. Nair (ICU Nurse)”, equipment/topic was “Syringe pump — set-up, alarms and daily operating check”, trainer was “Biomedical Engineer”.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nurse who was never actually shown how to use a syringe pump, or a technician maintaining equipment without real biomedical training, is a patient-safety risk hiding behind a job title — this record proves real competence, kept current.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Date: </w:t>
      </w:r>
      <w:r>
        <w:t>The date this training actually took place.</w:t>
      </w:r>
    </w:p>
    <w:p>
      <w:pPr>
        <w:pStyle w:val="ListParagraph"/>
      </w:pPr>
      <w:r>
        <w:rPr>
          <w:b/>
        </w:rPr>
        <w:t xml:space="preserve">Staff Name: </w:t>
      </w:r>
      <w:r>
        <w:t>The actual name of the staff member trained.</w:t>
      </w:r>
    </w:p>
    <w:p>
      <w:pPr>
        <w:pStyle w:val="ListParagraph"/>
      </w:pPr>
      <w:r>
        <w:rPr>
          <w:b/>
        </w:rPr>
        <w:t xml:space="preserve">Equipment/Topic: </w:t>
      </w:r>
      <w:r>
        <w:t>The specific equipment or topic covered — name the exact device/system, not 'equipment training.'</w:t>
      </w:r>
    </w:p>
    <w:p>
      <w:pPr>
        <w:pStyle w:val="ListParagraph"/>
      </w:pPr>
      <w:r>
        <w:rPr>
          <w:b/>
        </w:rPr>
        <w:t xml:space="preserve">Trainer: </w:t>
      </w:r>
      <w:r>
        <w:t>Who delivered the training.</w:t>
      </w:r>
    </w:p>
    <w:p>
      <w:pPr>
        <w:pStyle w:val="ListParagraph"/>
      </w:pPr>
      <w:r>
        <w:rPr>
          <w:b/>
        </w:rPr>
        <w:t xml:space="preserve">Competent (Y/N): </w:t>
      </w:r>
      <w:r>
        <w:t>Whether the person actually demonstrated competence — Y or N, not assumed.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Staff Name</w:t>
            </w:r>
          </w:p>
        </w:tc>
        <w:tc>
          <w:tcPr>
            <w:tcW w:type="dxa" w:w="1936"/>
            <w:shd w:val="clear" w:fill="D9E2F3"/>
          </w:tcPr>
          <w:p>
            <w:r/>
            <w:r>
              <w:rPr>
                <w:b/>
                <w:sz w:val="20"/>
              </w:rPr>
              <w:t>Equipment/Topic</w:t>
            </w:r>
          </w:p>
        </w:tc>
        <w:tc>
          <w:tcPr>
            <w:tcW w:type="dxa" w:w="1936"/>
            <w:shd w:val="clear" w:fill="D9E2F3"/>
          </w:tcPr>
          <w:p>
            <w:r/>
            <w:r>
              <w:rPr>
                <w:b/>
                <w:sz w:val="20"/>
              </w:rPr>
              <w:t>Trainer</w:t>
            </w:r>
          </w:p>
        </w:tc>
        <w:tc>
          <w:tcPr>
            <w:tcW w:type="dxa" w:w="1936"/>
            <w:shd w:val="clear" w:fill="D9E2F3"/>
          </w:tcPr>
          <w:p>
            <w:r/>
            <w:r>
              <w:rPr>
                <w:b/>
                <w:sz w:val="20"/>
              </w:rPr>
              <w:t>Competent (Y/N)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S. Nair (ICU Nurse)</w:t>
            </w:r>
          </w:p>
        </w:tc>
        <w:tc>
          <w:tcPr>
            <w:tcW w:type="dxa" w:w="1936"/>
            <w:shd w:val="clear" w:fill="FFF2CC"/>
          </w:tcPr>
          <w:p>
            <w:r/>
            <w:r>
              <w:rPr>
                <w:b w:val="0"/>
                <w:sz w:val="20"/>
              </w:rPr>
              <w:t>Syringe pump — set-up, alarms and daily operating check</w:t>
            </w:r>
          </w:p>
        </w:tc>
        <w:tc>
          <w:tcPr>
            <w:tcW w:type="dxa" w:w="1936"/>
            <w:shd w:val="clear" w:fill="FFF2CC"/>
          </w:tcPr>
          <w:p>
            <w:r/>
            <w:r>
              <w:rPr>
                <w:b w:val="0"/>
                <w:sz w:val="20"/>
              </w:rPr>
              <w:t>Biomedical Engineer</w:t>
            </w:r>
          </w:p>
        </w:tc>
        <w:tc>
          <w:tcPr>
            <w:tcW w:type="dxa" w:w="1936"/>
            <w:shd w:val="clear" w:fill="FFF2CC"/>
          </w:tcPr>
          <w:p>
            <w:r/>
            <w:r>
              <w:rPr>
                <w:b w:val="0"/>
                <w:sz w:val="20"/>
              </w:rPr>
              <w:t>Y</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