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FMS.5.f — Written guidance supports medical equipment replacement and disposal.</w:t>
      </w:r>
    </w:p>
    <w:p>
      <w:r>
        <w:rPr>
          <w:b/>
          <w:sz w:val="30"/>
        </w:rPr>
        <w:t>FMS.5 Record 16 — Written guidance supports medical equipment replacement and disposal.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medical-equipment replacement and disposal guidance.” — the specific evidence element Written guidance supports medical equipment replacement and disposal.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medical equipment is condemned and disposed of. The worked example below shows a real entry: on 10-Jan-2026, version was “v1.0”, approved by was “Facility Manager / Medical Superintendent”, covers was “Medical-equipment replacement and disposal guidance”.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Medical equipment condemned or disposed of with no record is untraceable if something later goes wrong — this record closes that gap.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Medical-equipment replacement and disposal guidance</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