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FMS.5.g — There is monitoring of medical equipment and medical devices related to adverse events, and compliance hazard notices on recalls.</w:t>
      </w:r>
    </w:p>
    <w:p>
      <w:r>
        <w:rPr>
          <w:b/>
          <w:sz w:val="30"/>
        </w:rPr>
        <w:t>FMS.5 Record 20 — There is monitoring of medical equipment and medical devices related to adverse events, and compliance hazard notices on recalls.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 showing a recalled device was withdrawn from clinical use until the issue closed.” — the specific evidence element There is monitoring of medical equipment and medical devices related to adverse events, and compliance hazard notices on recalls. of this policy asks for. Every time this happens for real, whoever is responsible adds one new row below with: Date, Device, Adverse Event/Recall Notice, Source,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an adverse-event or recall notice is received, a device is withdrawn, or MvPI participation is logged. The worked example below shows a real entry: on 18-Jan-2026, device was “Infusion pump, model XZ-200”, adverse event/recall notice was “Manufacturer hazard notice — potential over-infusion fault”, source was “Manufacturer / MvPI / Regulator” — so outcome was “Withdrawn from clinical use same day pending manufacturer fix”.</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recalled device left in clinical use because nobody was tracking manufacturer notices is exactly how a known fault reaches a patient — this record proves recalls are actually being monitored and acted on, including through MvPI.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actual date this was received or reported.</w:t>
      </w:r>
    </w:p>
    <w:p>
      <w:pPr>
        <w:pStyle w:val="ListParagraph"/>
      </w:pPr>
      <w:r>
        <w:rPr>
          <w:b/>
        </w:rPr>
        <w:t xml:space="preserve">Device: </w:t>
      </w:r>
      <w:r>
        <w:t>The specific device — name model and, where relevant, its location.</w:t>
      </w:r>
    </w:p>
    <w:p>
      <w:pPr>
        <w:pStyle w:val="ListParagraph"/>
      </w:pPr>
      <w:r>
        <w:rPr>
          <w:b/>
        </w:rPr>
        <w:t xml:space="preserve">Adverse Event/Recall Notice: </w:t>
      </w:r>
      <w:r>
        <w:t>What the real notice or adverse event actually said.</w:t>
      </w:r>
    </w:p>
    <w:p>
      <w:pPr>
        <w:pStyle w:val="ListParagraph"/>
      </w:pPr>
      <w:r>
        <w:rPr>
          <w:b/>
        </w:rPr>
        <w:t xml:space="preserve">Source: </w:t>
      </w:r>
      <w:r>
        <w:t>Where this notice actually came from.</w:t>
      </w:r>
    </w:p>
    <w:p>
      <w:pPr>
        <w:pStyle w:val="ListParagraph"/>
      </w:pPr>
      <w:r>
        <w:rPr>
          <w:b/>
        </w:rPr>
        <w:t xml:space="preserve">Outcome: </w:t>
      </w:r>
      <w:r>
        <w:t>What was actually done as a result.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Device</w:t>
            </w:r>
          </w:p>
        </w:tc>
        <w:tc>
          <w:tcPr>
            <w:tcW w:type="dxa" w:w="1936"/>
            <w:shd w:val="clear" w:fill="D9E2F3"/>
          </w:tcPr>
          <w:p>
            <w:r/>
            <w:r>
              <w:rPr>
                <w:b/>
                <w:sz w:val="20"/>
              </w:rPr>
              <w:t>Adverse Event/Recall Notice</w:t>
            </w:r>
          </w:p>
        </w:tc>
        <w:tc>
          <w:tcPr>
            <w:tcW w:type="dxa" w:w="1936"/>
            <w:shd w:val="clear" w:fill="D9E2F3"/>
          </w:tcPr>
          <w:p>
            <w:r/>
            <w:r>
              <w:rPr>
                <w:b/>
                <w:sz w:val="20"/>
              </w:rPr>
              <w:t>Source</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18-Jan-2026</w:t>
            </w:r>
          </w:p>
        </w:tc>
        <w:tc>
          <w:tcPr>
            <w:tcW w:type="dxa" w:w="1936"/>
            <w:shd w:val="clear" w:fill="FFF2CC"/>
          </w:tcPr>
          <w:p>
            <w:r/>
            <w:r>
              <w:rPr>
                <w:b w:val="0"/>
                <w:sz w:val="20"/>
              </w:rPr>
              <w:t>Infusion pump, model XZ-200</w:t>
            </w:r>
          </w:p>
        </w:tc>
        <w:tc>
          <w:tcPr>
            <w:tcW w:type="dxa" w:w="1936"/>
            <w:shd w:val="clear" w:fill="FFF2CC"/>
          </w:tcPr>
          <w:p>
            <w:r/>
            <w:r>
              <w:rPr>
                <w:b w:val="0"/>
                <w:sz w:val="20"/>
              </w:rPr>
              <w:t>Manufacturer hazard notice — potential over-infusion fault</w:t>
            </w:r>
          </w:p>
        </w:tc>
        <w:tc>
          <w:tcPr>
            <w:tcW w:type="dxa" w:w="1936"/>
            <w:shd w:val="clear" w:fill="FFF2CC"/>
          </w:tcPr>
          <w:p>
            <w:r/>
            <w:r>
              <w:rPr>
                <w:b w:val="0"/>
                <w:sz w:val="20"/>
              </w:rPr>
              <w:t>Manufacturer / MvPI / Regulator</w:t>
            </w:r>
          </w:p>
        </w:tc>
        <w:tc>
          <w:tcPr>
            <w:tcW w:type="dxa" w:w="1936"/>
            <w:shd w:val="clear" w:fill="FFF2CC"/>
          </w:tcPr>
          <w:p>
            <w:r/>
            <w:r>
              <w:rPr>
                <w:b w:val="0"/>
                <w:sz w:val="20"/>
              </w:rPr>
              <w:t>Withdrawn from clinical use same day pending manufacturer fix</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