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FMS.6.a — Written guidance governs the implementation of procurement, handling, storage, distribution, usage and replenishment of medical gases.</w:t>
      </w:r>
    </w:p>
    <w:p>
      <w:r>
        <w:rPr>
          <w:b/>
          <w:sz w:val="30"/>
        </w:rPr>
        <w:t>FMS.6 Record 1 — Written guidance governs the implementation of procurement, handling, storage, distribution, usage and replenishment of medical gases.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medical-gas procurement, handling, storage, distribution, usage and replenishment guidance, including colour-coding and signage.” — the specific evidence element Written guidance governs the implementation of procurement, handling, storage, distribution, usage and replenishment of medical gases.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medical-gas guidance is written, a reference standard applied, or a statutory provision checked. The worked example below shows a real entry: on 10-Jan-2026, version was “v1.0”, approved by was “Facility Manager / Medical Superintendent”, covers was “Medical-gas procurement, handling, storage, distribution, usage and replenishment”.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gases handled without real, written, statute-aware guidance is how a cylinder gets mishandled in a way that's actively dangerous — this record proves the guidance is real and the relevant statutes were actually checked.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Medical-gas procurement, handling, storage, distribution, usage and replenishment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FMS.6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