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FMS.6.a — Written guidance governs the implementation of procurement, handling, storage, distribution, usage and replenishment of medical gases.</w:t>
      </w:r>
    </w:p>
    <w:p>
      <w:r>
        <w:rPr>
          <w:b/>
          <w:sz w:val="30"/>
        </w:rPr>
        <w:t>FMS.6 Record 2 — Written guidance governs the implementation of procurement, handling, storage, distribution, usage and replenishment of medical gases.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“Reference used (for example HTM 02-01 or the NFPA medical-gas handbook).” — the specific evidence element Written guidance governs the implementation of procurement, handling, storage, distribution, usage and replenishment of medical gases. of this policy asks for. Every time this happens for real, whoever is responsible adds one new row below with: Reference/Standard Used, Where Applied, Date Confirmed Current, Confirmed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medical-gas guidance is written, a reference standard applied, or a statutory provision checked. The worked example below shows a real entry: on 10-Jan-2026, reference/standard used was “The applicable national/international guideline named in the policy”, where applied was “This specific requirement”, confirmed by was “Facility Manager”.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Medical gases handled without real, written, statute-aware guidance is how a cylinder gets mishandled in a way that's actively dangerous — this record proves the guidance is real and the relevant statutes were actually checked.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Reference/Standard Used: </w:t>
      </w:r>
      <w:r>
        <w:t>The exact reference or standard actually used — name it, don't write 'applicable guidelines.'</w:t>
      </w:r>
    </w:p>
    <w:p>
      <w:pPr>
        <w:pStyle w:val="ListParagraph"/>
      </w:pPr>
      <w:r>
        <w:rPr>
          <w:b/>
        </w:rPr>
        <w:t xml:space="preserve">Where Applied: </w:t>
      </w:r>
      <w:r>
        <w:t>What this reference was actually applied to.</w:t>
      </w:r>
    </w:p>
    <w:p>
      <w:pPr>
        <w:pStyle w:val="ListParagraph"/>
      </w:pPr>
      <w:r>
        <w:rPr>
          <w:b/>
        </w:rPr>
        <w:t xml:space="preserve">Date Confirmed Current: </w:t>
      </w:r>
      <w:r>
        <w:t>The date this was last checked to still be the current version of the reference.</w:t>
      </w:r>
    </w:p>
    <w:p>
      <w:pPr>
        <w:pStyle w:val="ListParagraph"/>
      </w:pPr>
      <w:r>
        <w:rPr>
          <w:b/>
        </w:rPr>
        <w:t xml:space="preserve">Confirmed By: </w:t>
      </w:r>
      <w:r>
        <w:t>Who confirmed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Reference/Standard Used</w:t>
            </w:r>
          </w:p>
        </w:tc>
        <w:tc>
          <w:tcPr>
            <w:tcW w:type="dxa" w:w="2420"/>
            <w:shd w:val="clear" w:fill="D9E2F3"/>
          </w:tcPr>
          <w:p>
            <w:r/>
            <w:r>
              <w:rPr>
                <w:b/>
                <w:sz w:val="20"/>
              </w:rPr>
              <w:t>Where Applied</w:t>
            </w:r>
          </w:p>
        </w:tc>
        <w:tc>
          <w:tcPr>
            <w:tcW w:type="dxa" w:w="2420"/>
            <w:shd w:val="clear" w:fill="D9E2F3"/>
          </w:tcPr>
          <w:p>
            <w:r/>
            <w:r>
              <w:rPr>
                <w:b/>
                <w:sz w:val="20"/>
              </w:rPr>
              <w:t>Date Confirmed Current</w:t>
            </w:r>
          </w:p>
        </w:tc>
        <w:tc>
          <w:tcPr>
            <w:tcW w:type="dxa" w:w="2420"/>
            <w:shd w:val="clear" w:fill="D9E2F3"/>
          </w:tcPr>
          <w:p>
            <w:r/>
            <w:r>
              <w:rPr>
                <w:b/>
                <w:sz w:val="20"/>
              </w:rPr>
              <w:t>Confirmed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The applicable national/international guideline named in the policy</w:t>
            </w:r>
          </w:p>
        </w:tc>
        <w:tc>
          <w:tcPr>
            <w:tcW w:type="dxa" w:w="2420"/>
            <w:shd w:val="clear" w:fill="FFF2CC"/>
          </w:tcPr>
          <w:p>
            <w:r/>
            <w:r>
              <w:rPr>
                <w:b w:val="0"/>
                <w:sz w:val="20"/>
              </w:rPr>
              <w:t>This specific requirement</w:t>
            </w:r>
          </w:p>
        </w:tc>
        <w:tc>
          <w:tcPr>
            <w:tcW w:type="dxa" w:w="2420"/>
            <w:shd w:val="clear" w:fill="FFF2CC"/>
          </w:tcPr>
          <w:p>
            <w:r/>
            <w:r>
              <w:rPr>
                <w:b w:val="0"/>
                <w:sz w:val="20"/>
              </w:rPr>
              <w:t>10-Jan-2026</w:t>
            </w:r>
          </w:p>
        </w:tc>
        <w:tc>
          <w:tcPr>
            <w:tcW w:type="dxa" w:w="2420"/>
            <w:shd w:val="clear" w:fill="FFF2CC"/>
          </w:tcPr>
          <w:p>
            <w:r/>
            <w:r>
              <w:rPr>
                <w:b w:val="0"/>
                <w:sz w:val="20"/>
              </w:rPr>
              <w:t>Facility Manager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