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FMS.7.b — The organisation has plans and provisions for identification, and management of non-fire emergencies.</w:t>
      </w:r>
    </w:p>
    <w:p>
      <w:r>
        <w:rPr>
          <w:b/>
          <w:sz w:val="30"/>
        </w:rPr>
        <w:t>FMS.7 Record 4 — The organisation has plans and provisions for identification, and management of non-fire emergencies.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non-fire-emergency plan (for example earthquake, flood, toxic leak, structural collapse, utility failure, boiler burst, violence, stray animals).” — the specific evidence element The organisation has plans and provisions for identification, and management of non-fire emergencies. of this policy asks for. Every time this happens for real, whoever is responsible adds one new row below with: Version, Date Approved, Approved By, Covers,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uses this record whenever the non-fire-emergency plan is written, or liaison with an outside authority actually happens. The worked example below shows a real entry: on 10-Jan-2026, version was “v1.0”, approved by was “Facility Manager / Medical Superintendent”, covers was “Non-fire-emergency identification and management plan”.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with no real plan for an earthquake, flood or violent incident is deciding what to do only after it's already happening — this record proves the plan, and the liaison with real outside authorities, actually exists.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start at v1.0, increase for each revision.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pPr>
        <w:pStyle w:val="ListParagraph"/>
      </w:pPr>
      <w:r>
        <w:rPr>
          <w:b/>
        </w:rPr>
        <w:t xml:space="preserve">Covers: </w:t>
      </w:r>
      <w:r>
        <w:t>What this specific version actually covers — name the equipment/systems, don't write 'all equipment.'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plan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Covers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Facility Manager /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Non-fire-emergency identification and management plan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