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HRM.4.a — Written guidance for training and development.</w:t>
      </w:r>
    </w:p>
    <w:p>
      <w:r>
        <w:rPr>
          <w:b/>
          <w:sz w:val="30"/>
        </w:rPr>
        <w:t>HRM.4 Record 1 — Written guidance for training and development.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training and development policy or manual.” — the specific evidence element Written guidance for training and development.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training manual/policy is approved or revised, and whenever a specific training need is identified for the calendar. The worked example below shows a real entry: on 10-Jan-2026, version was 'v1.0', approved by was 'HR In-Charge / Medical Superintendent'.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run without a documented needs-assessment, methodology and calendar becomes ad hoc and unequal across staff categories, including doctors and outsourced staff who are easy to overlook.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manual.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manual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HR In-Charge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Training-needs identification, methodology, documentation, assessment, impact evaluation, training calendar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HRM.4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